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7C" w:rsidRDefault="001A597C" w:rsidP="00942574">
      <w:pPr>
        <w:jc w:val="center"/>
        <w:rPr>
          <w:rFonts w:ascii="標楷體" w:eastAsia="標楷體"/>
          <w:sz w:val="40"/>
        </w:rPr>
      </w:pPr>
      <w:bookmarkStart w:id="0" w:name="_GoBack"/>
      <w:bookmarkEnd w:id="0"/>
      <w:r>
        <w:rPr>
          <w:rFonts w:ascii="標楷體" w:eastAsia="標楷體" w:hint="eastAsia"/>
          <w:sz w:val="40"/>
        </w:rPr>
        <w:t>慈濟大學有害廢棄物分類及處理作業要點</w:t>
      </w:r>
    </w:p>
    <w:p w:rsidR="001A597C" w:rsidRDefault="001A597C" w:rsidP="00942574">
      <w:pPr>
        <w:jc w:val="righ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九十一年五月九日簽請校長同意實施</w:t>
      </w:r>
    </w:p>
    <w:p w:rsidR="001A597C" w:rsidRDefault="001A597C" w:rsidP="00942574">
      <w:pPr>
        <w:jc w:val="righ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九十一年十一月二十一日簽請校長同意修正實施</w:t>
      </w:r>
    </w:p>
    <w:p w:rsidR="00110791" w:rsidRDefault="00110791" w:rsidP="00942574">
      <w:pPr>
        <w:jc w:val="righ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九十三年</w:t>
      </w:r>
      <w:r w:rsidR="006F43E9">
        <w:rPr>
          <w:rFonts w:ascii="標楷體" w:eastAsia="標楷體" w:hint="eastAsia"/>
          <w:sz w:val="20"/>
        </w:rPr>
        <w:t>十一</w:t>
      </w:r>
      <w:r>
        <w:rPr>
          <w:rFonts w:ascii="標楷體" w:eastAsia="標楷體" w:hint="eastAsia"/>
          <w:sz w:val="20"/>
        </w:rPr>
        <w:t>月</w:t>
      </w:r>
      <w:r w:rsidR="006F43E9">
        <w:rPr>
          <w:rFonts w:ascii="標楷體" w:eastAsia="標楷體" w:hint="eastAsia"/>
          <w:sz w:val="20"/>
        </w:rPr>
        <w:t>十一</w:t>
      </w:r>
      <w:r>
        <w:rPr>
          <w:rFonts w:ascii="標楷體" w:eastAsia="標楷體" w:hint="eastAsia"/>
          <w:sz w:val="20"/>
        </w:rPr>
        <w:t>日簽請校長同意修正實施</w:t>
      </w:r>
    </w:p>
    <w:p w:rsidR="00996B4D" w:rsidRDefault="00996B4D" w:rsidP="00942574">
      <w:pPr>
        <w:jc w:val="right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一○三年</w:t>
      </w:r>
      <w:r w:rsidR="002F07C6">
        <w:rPr>
          <w:rFonts w:ascii="標楷體" w:eastAsia="標楷體" w:hint="eastAsia"/>
          <w:sz w:val="20"/>
        </w:rPr>
        <w:t>三</w:t>
      </w:r>
      <w:r>
        <w:rPr>
          <w:rFonts w:ascii="標楷體" w:eastAsia="標楷體" w:hint="eastAsia"/>
          <w:sz w:val="20"/>
        </w:rPr>
        <w:t>月</w:t>
      </w:r>
      <w:r w:rsidR="002F07C6">
        <w:rPr>
          <w:rFonts w:ascii="標楷體" w:eastAsia="標楷體" w:hint="eastAsia"/>
          <w:sz w:val="20"/>
        </w:rPr>
        <w:t>二十八</w:t>
      </w:r>
      <w:r>
        <w:rPr>
          <w:rFonts w:ascii="標楷體" w:eastAsia="標楷體" w:hint="eastAsia"/>
          <w:sz w:val="20"/>
        </w:rPr>
        <w:t>日簽請校長同意修正實施</w:t>
      </w:r>
    </w:p>
    <w:p w:rsidR="00996B4D" w:rsidRPr="00996B4D" w:rsidRDefault="00996B4D" w:rsidP="00942574">
      <w:pPr>
        <w:jc w:val="right"/>
        <w:rPr>
          <w:rFonts w:ascii="標楷體" w:eastAsia="標楷體"/>
          <w:sz w:val="20"/>
        </w:rPr>
      </w:pPr>
    </w:p>
    <w:p w:rsidR="001A597C" w:rsidRDefault="001A597C" w:rsidP="00942574">
      <w:pPr>
        <w:numPr>
          <w:ilvl w:val="0"/>
          <w:numId w:val="1"/>
        </w:num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本作業要點依據有害廢棄物認定標準之規定訂定之，全體教職員生應依本作業要點確實做好分類、清理工作，以達到廢棄物減量化、無害化、安全化及資源化之目標。</w:t>
      </w:r>
    </w:p>
    <w:p w:rsidR="007458F1" w:rsidRDefault="007458F1" w:rsidP="00942574">
      <w:pPr>
        <w:numPr>
          <w:ilvl w:val="0"/>
          <w:numId w:val="1"/>
        </w:numPr>
        <w:jc w:val="both"/>
        <w:rPr>
          <w:rFonts w:ascii="標楷體" w:eastAsia="標楷體"/>
        </w:rPr>
      </w:pPr>
      <w:r w:rsidRPr="007458F1">
        <w:rPr>
          <w:rFonts w:ascii="標楷體" w:eastAsia="標楷體" w:hint="eastAsia"/>
        </w:rPr>
        <w:t>有害事業廢棄物</w:t>
      </w:r>
      <w:r>
        <w:rPr>
          <w:rFonts w:ascii="標楷體" w:eastAsia="標楷體" w:hint="eastAsia"/>
        </w:rPr>
        <w:t>認定標準</w:t>
      </w:r>
      <w:r w:rsidRPr="007458F1">
        <w:rPr>
          <w:rFonts w:ascii="標楷體" w:eastAsia="標楷體" w:hint="eastAsia"/>
        </w:rPr>
        <w:t>：</w:t>
      </w:r>
      <w:r>
        <w:rPr>
          <w:rFonts w:ascii="標楷體" w:eastAsia="標楷體" w:hint="eastAsia"/>
        </w:rPr>
        <w:t>依行政院環境保護</w:t>
      </w:r>
      <w:r w:rsidR="00ED0EE5">
        <w:rPr>
          <w:rFonts w:ascii="標楷體" w:eastAsia="標楷體" w:hint="eastAsia"/>
        </w:rPr>
        <w:t>署</w:t>
      </w:r>
      <w:r>
        <w:rPr>
          <w:rFonts w:ascii="標楷體" w:eastAsia="標楷體" w:hint="eastAsia"/>
        </w:rPr>
        <w:t>有害廢棄物認定標準第二條規定</w:t>
      </w:r>
      <w:r w:rsidR="005F2C39">
        <w:rPr>
          <w:rFonts w:ascii="標楷體" w:eastAsia="標楷體" w:hint="eastAsia"/>
        </w:rPr>
        <w:t>。</w:t>
      </w:r>
    </w:p>
    <w:p w:rsidR="007458F1" w:rsidRPr="007458F1" w:rsidRDefault="007458F1" w:rsidP="007458F1">
      <w:pPr>
        <w:ind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Pr="007458F1">
        <w:rPr>
          <w:rFonts w:ascii="標楷體" w:eastAsia="標楷體" w:hint="eastAsia"/>
        </w:rPr>
        <w:t>一</w:t>
      </w:r>
      <w:r>
        <w:rPr>
          <w:rFonts w:ascii="標楷體" w:eastAsia="標楷體" w:hint="eastAsia"/>
        </w:rPr>
        <w:t>）</w:t>
      </w:r>
      <w:r w:rsidRPr="007458F1">
        <w:rPr>
          <w:rFonts w:ascii="標楷體" w:eastAsia="標楷體" w:hint="eastAsia"/>
        </w:rPr>
        <w:t>列表之有害事業廢棄物。</w:t>
      </w:r>
    </w:p>
    <w:p w:rsidR="007458F1" w:rsidRPr="007458F1" w:rsidRDefault="007458F1" w:rsidP="007458F1">
      <w:pPr>
        <w:ind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Pr="007458F1">
        <w:rPr>
          <w:rFonts w:ascii="標楷體" w:eastAsia="標楷體" w:hint="eastAsia"/>
        </w:rPr>
        <w:t>二</w:t>
      </w:r>
      <w:r>
        <w:rPr>
          <w:rFonts w:ascii="標楷體" w:eastAsia="標楷體" w:hint="eastAsia"/>
        </w:rPr>
        <w:t>）</w:t>
      </w:r>
      <w:r w:rsidRPr="007458F1">
        <w:rPr>
          <w:rFonts w:ascii="標楷體" w:eastAsia="標楷體" w:hint="eastAsia"/>
        </w:rPr>
        <w:t>有害特性認定之有害事業廢棄物。</w:t>
      </w:r>
    </w:p>
    <w:p w:rsidR="007458F1" w:rsidRDefault="007458F1" w:rsidP="007458F1">
      <w:pPr>
        <w:ind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Pr="007458F1">
        <w:rPr>
          <w:rFonts w:ascii="標楷體" w:eastAsia="標楷體" w:hint="eastAsia"/>
        </w:rPr>
        <w:t>三</w:t>
      </w:r>
      <w:r>
        <w:rPr>
          <w:rFonts w:ascii="標楷體" w:eastAsia="標楷體" w:hint="eastAsia"/>
        </w:rPr>
        <w:t>）</w:t>
      </w:r>
      <w:r w:rsidRPr="007458F1">
        <w:rPr>
          <w:rFonts w:ascii="標楷體" w:eastAsia="標楷體" w:hint="eastAsia"/>
        </w:rPr>
        <w:t>其他經中央主管機關公告者。</w:t>
      </w:r>
    </w:p>
    <w:p w:rsidR="007458F1" w:rsidRDefault="007458F1" w:rsidP="00942574">
      <w:pPr>
        <w:numPr>
          <w:ilvl w:val="0"/>
          <w:numId w:val="1"/>
        </w:num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列表之有害事業廢棄物</w:t>
      </w:r>
      <w:r w:rsidR="005F2C39">
        <w:rPr>
          <w:rFonts w:ascii="標楷體" w:eastAsia="標楷體" w:hint="eastAsia"/>
        </w:rPr>
        <w:t>認定標準：依行政院環境保護</w:t>
      </w:r>
      <w:r w:rsidR="00ED0EE5">
        <w:rPr>
          <w:rFonts w:ascii="標楷體" w:eastAsia="標楷體" w:hint="eastAsia"/>
        </w:rPr>
        <w:t>署</w:t>
      </w:r>
      <w:r w:rsidR="005F2C39">
        <w:rPr>
          <w:rFonts w:ascii="標楷體" w:eastAsia="標楷體" w:hint="eastAsia"/>
        </w:rPr>
        <w:t>有害廢棄物認定標準第三條規定。</w:t>
      </w:r>
    </w:p>
    <w:p w:rsidR="005F2C39" w:rsidRPr="005F2C39" w:rsidRDefault="005F2C39" w:rsidP="005F2C39">
      <w:pPr>
        <w:ind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Pr="005F2C39">
        <w:rPr>
          <w:rFonts w:ascii="標楷體" w:eastAsia="標楷體" w:hint="eastAsia"/>
        </w:rPr>
        <w:t>一</w:t>
      </w:r>
      <w:r>
        <w:rPr>
          <w:rFonts w:ascii="標楷體" w:eastAsia="標楷體" w:hint="eastAsia"/>
        </w:rPr>
        <w:t>）</w:t>
      </w:r>
      <w:r w:rsidRPr="005F2C39">
        <w:rPr>
          <w:rFonts w:ascii="標楷體" w:eastAsia="標楷體" w:hint="eastAsia"/>
        </w:rPr>
        <w:t>製程有害事業廢棄物。</w:t>
      </w:r>
    </w:p>
    <w:p w:rsidR="005F2C39" w:rsidRPr="005F2C39" w:rsidRDefault="005F2C39" w:rsidP="005F2C39">
      <w:pPr>
        <w:ind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Pr="005F2C39">
        <w:rPr>
          <w:rFonts w:ascii="標楷體" w:eastAsia="標楷體" w:hint="eastAsia"/>
        </w:rPr>
        <w:t>二</w:t>
      </w:r>
      <w:r>
        <w:rPr>
          <w:rFonts w:ascii="標楷體" w:eastAsia="標楷體" w:hint="eastAsia"/>
        </w:rPr>
        <w:t>）</w:t>
      </w:r>
      <w:r w:rsidRPr="005F2C39">
        <w:rPr>
          <w:rFonts w:ascii="標楷體" w:eastAsia="標楷體" w:hint="eastAsia"/>
        </w:rPr>
        <w:t>混合五金廢料。</w:t>
      </w:r>
    </w:p>
    <w:p w:rsidR="005F2C39" w:rsidRDefault="005F2C39" w:rsidP="005F2C39">
      <w:pPr>
        <w:ind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Pr="005F2C39">
        <w:rPr>
          <w:rFonts w:ascii="標楷體" w:eastAsia="標楷體" w:hint="eastAsia"/>
        </w:rPr>
        <w:t>三</w:t>
      </w:r>
      <w:r>
        <w:rPr>
          <w:rFonts w:ascii="標楷體" w:eastAsia="標楷體" w:hint="eastAsia"/>
        </w:rPr>
        <w:t>）</w:t>
      </w:r>
      <w:r w:rsidRPr="005F2C39">
        <w:rPr>
          <w:rFonts w:ascii="標楷體" w:eastAsia="標楷體" w:hint="eastAsia"/>
        </w:rPr>
        <w:t>生物醫療廢棄物。</w:t>
      </w:r>
    </w:p>
    <w:p w:rsidR="001A597C" w:rsidRDefault="001A597C" w:rsidP="00942574">
      <w:pPr>
        <w:numPr>
          <w:ilvl w:val="0"/>
          <w:numId w:val="1"/>
        </w:num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有害特性認定之有害事業廢棄物</w:t>
      </w:r>
      <w:r w:rsidR="005F2C39">
        <w:rPr>
          <w:rFonts w:ascii="標楷體" w:eastAsia="標楷體" w:hint="eastAsia"/>
        </w:rPr>
        <w:t>：依行政院環境保護</w:t>
      </w:r>
      <w:r w:rsidR="00ED0EE5">
        <w:rPr>
          <w:rFonts w:ascii="標楷體" w:eastAsia="標楷體" w:hint="eastAsia"/>
        </w:rPr>
        <w:t>署</w:t>
      </w:r>
      <w:r w:rsidR="005F2C39">
        <w:rPr>
          <w:rFonts w:ascii="標楷體" w:eastAsia="標楷體" w:hint="eastAsia"/>
        </w:rPr>
        <w:t>有害廢棄物認定標準第四條規定。</w:t>
      </w:r>
    </w:p>
    <w:p w:rsidR="003F1A30" w:rsidRDefault="003F1A30" w:rsidP="003F1A30">
      <w:pPr>
        <w:ind w:left="48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（一）</w:t>
      </w:r>
      <w:r w:rsidRPr="003F1A30">
        <w:rPr>
          <w:rFonts w:ascii="標楷體" w:eastAsia="標楷體" w:hint="eastAsia"/>
        </w:rPr>
        <w:t>毒性有害事業廢棄物：</w:t>
      </w:r>
    </w:p>
    <w:p w:rsidR="003F1A30" w:rsidRPr="003F1A30" w:rsidRDefault="003F1A30" w:rsidP="003F1A30">
      <w:pPr>
        <w:pStyle w:val="a8"/>
        <w:numPr>
          <w:ilvl w:val="0"/>
          <w:numId w:val="33"/>
        </w:numPr>
        <w:ind w:leftChars="0" w:left="1418" w:hanging="284"/>
        <w:jc w:val="both"/>
        <w:rPr>
          <w:rFonts w:ascii="標楷體" w:eastAsia="標楷體"/>
        </w:rPr>
      </w:pPr>
      <w:r w:rsidRPr="003F1A30">
        <w:rPr>
          <w:rFonts w:ascii="標楷體" w:eastAsia="標楷體" w:hint="eastAsia"/>
        </w:rPr>
        <w:t>依毒性化學物質管理法公告之第一類、第二類及第三類毒性化學物質之固體或液體廢棄物。</w:t>
      </w:r>
    </w:p>
    <w:p w:rsidR="003F1A30" w:rsidRPr="003F1A30" w:rsidRDefault="003F1A30" w:rsidP="003F1A30">
      <w:pPr>
        <w:pStyle w:val="a8"/>
        <w:numPr>
          <w:ilvl w:val="0"/>
          <w:numId w:val="33"/>
        </w:numPr>
        <w:ind w:leftChars="0" w:left="1418" w:hanging="284"/>
        <w:jc w:val="both"/>
        <w:rPr>
          <w:rFonts w:ascii="標楷體" w:eastAsia="標楷體"/>
        </w:rPr>
      </w:pPr>
      <w:r w:rsidRPr="003F1A30">
        <w:rPr>
          <w:rFonts w:ascii="標楷體" w:eastAsia="標楷體" w:hint="eastAsia"/>
        </w:rPr>
        <w:t>直接接觸前</w:t>
      </w:r>
      <w:r w:rsidR="00E81D9A">
        <w:rPr>
          <w:rFonts w:ascii="標楷體" w:eastAsia="標楷體" w:hint="eastAsia"/>
        </w:rPr>
        <w:t>述</w:t>
      </w:r>
      <w:r w:rsidRPr="003F1A30">
        <w:rPr>
          <w:rFonts w:ascii="標楷體" w:eastAsia="標楷體" w:hint="eastAsia"/>
        </w:rPr>
        <w:t>毒性化學物質之廢棄盛裝容器。</w:t>
      </w:r>
    </w:p>
    <w:p w:rsidR="003F1A30" w:rsidRPr="003F1A30" w:rsidRDefault="003F1A30" w:rsidP="003F1A30">
      <w:pPr>
        <w:ind w:leftChars="199" w:left="1131" w:hangingChars="272" w:hanging="65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（二）</w:t>
      </w:r>
      <w:r w:rsidRPr="003F1A30">
        <w:rPr>
          <w:rFonts w:ascii="標楷體" w:eastAsia="標楷體" w:hint="eastAsia"/>
        </w:rPr>
        <w:t>溶出毒性事業廢棄物：指事業廢棄物依使用原物料、製程及廢棄物成分特性之相關性選定分析項目，以毒性特性溶出程序（以下簡稱TCLP）直接判定或先經萃取處理再判定之萃出液，其成分濃度超過</w:t>
      </w:r>
      <w:r w:rsidR="00AD01ED" w:rsidRPr="00AD01ED">
        <w:rPr>
          <w:rFonts w:ascii="標楷體" w:eastAsia="標楷體" w:hint="eastAsia"/>
        </w:rPr>
        <w:t>行政院環境保護</w:t>
      </w:r>
      <w:r w:rsidR="00ED0EE5">
        <w:rPr>
          <w:rFonts w:ascii="標楷體" w:eastAsia="標楷體" w:hint="eastAsia"/>
        </w:rPr>
        <w:t>署</w:t>
      </w:r>
      <w:r w:rsidR="00AD01ED" w:rsidRPr="00AD01ED">
        <w:rPr>
          <w:rFonts w:ascii="標楷體" w:eastAsia="標楷體" w:hint="eastAsia"/>
        </w:rPr>
        <w:t>有害廢棄物認定標準</w:t>
      </w:r>
      <w:r w:rsidRPr="003F1A30">
        <w:rPr>
          <w:rFonts w:ascii="標楷體" w:eastAsia="標楷體" w:hint="eastAsia"/>
        </w:rPr>
        <w:t>附表四之標準者。</w:t>
      </w:r>
    </w:p>
    <w:p w:rsidR="003F1A30" w:rsidRPr="003F1A30" w:rsidRDefault="003F1A30" w:rsidP="003F1A30">
      <w:pPr>
        <w:ind w:leftChars="199" w:left="1131" w:hangingChars="272" w:hanging="65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（三）</w:t>
      </w:r>
      <w:r w:rsidRPr="003F1A30">
        <w:rPr>
          <w:rFonts w:ascii="標楷體" w:eastAsia="標楷體" w:hint="eastAsia"/>
        </w:rPr>
        <w:t>戴奧辛有害事業廢棄物：指事業廢棄物中含2,3,7,8-氯化戴奧辛及喃同源物等十七種化合物之總毒性當量濃度超過一．○ng I-TEQ／g者。</w:t>
      </w:r>
    </w:p>
    <w:p w:rsidR="003F1A30" w:rsidRPr="003F1A30" w:rsidRDefault="003F1A30" w:rsidP="003F1A30">
      <w:pPr>
        <w:ind w:leftChars="199" w:left="1131" w:hangingChars="272" w:hanging="65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（四）</w:t>
      </w:r>
      <w:r w:rsidRPr="003F1A30">
        <w:rPr>
          <w:rFonts w:ascii="標楷體" w:eastAsia="標楷體" w:hint="eastAsia"/>
        </w:rPr>
        <w:t>多氯聯苯有害事業廢棄物：指多氯聯苯重量含量在百萬分之五十以上之廢電容器（以絕緣油重量計）、廢變壓器（以變壓器油重量計）或其他事業廢棄物。</w:t>
      </w:r>
    </w:p>
    <w:p w:rsidR="003F1A30" w:rsidRPr="003F1A30" w:rsidRDefault="003F1A30" w:rsidP="003F1A30">
      <w:pPr>
        <w:ind w:leftChars="199" w:left="1131" w:hangingChars="272" w:hanging="65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（五）</w:t>
      </w:r>
      <w:r w:rsidRPr="003F1A30">
        <w:rPr>
          <w:rFonts w:ascii="標楷體" w:eastAsia="標楷體" w:hint="eastAsia"/>
        </w:rPr>
        <w:t>腐蝕性事業廢棄物：指事業廢棄物具有下列性質之一者：</w:t>
      </w:r>
    </w:p>
    <w:p w:rsidR="003F1A30" w:rsidRPr="003F1A30" w:rsidRDefault="003F1A30" w:rsidP="003F1A30">
      <w:pPr>
        <w:pStyle w:val="a8"/>
        <w:numPr>
          <w:ilvl w:val="0"/>
          <w:numId w:val="34"/>
        </w:numPr>
        <w:ind w:leftChars="0" w:left="1418" w:hanging="284"/>
        <w:jc w:val="both"/>
        <w:rPr>
          <w:rFonts w:ascii="標楷體" w:eastAsia="標楷體"/>
        </w:rPr>
      </w:pPr>
      <w:r w:rsidRPr="003F1A30">
        <w:rPr>
          <w:rFonts w:ascii="標楷體" w:eastAsia="標楷體" w:hint="eastAsia"/>
        </w:rPr>
        <w:t xml:space="preserve"> 廢液氫離子濃度指數（pH值）大於等於十二．五或小於等於二．</w:t>
      </w:r>
      <w:r w:rsidRPr="003F1A30">
        <w:rPr>
          <w:rFonts w:ascii="標楷體" w:eastAsia="標楷體" w:hint="eastAsia"/>
        </w:rPr>
        <w:lastRenderedPageBreak/>
        <w:t>○；或在攝氏溫度五十五度時對鋼（中華民國國家標準鋼材Ｓ二○Ｃ）之腐蝕速率每年超過六．三五毫米者。</w:t>
      </w:r>
    </w:p>
    <w:p w:rsidR="003F1A30" w:rsidRPr="003F1A30" w:rsidRDefault="003F1A30" w:rsidP="003F1A30">
      <w:pPr>
        <w:pStyle w:val="a8"/>
        <w:numPr>
          <w:ilvl w:val="0"/>
          <w:numId w:val="34"/>
        </w:numPr>
        <w:ind w:leftChars="0" w:left="1418" w:hanging="284"/>
        <w:jc w:val="both"/>
        <w:rPr>
          <w:rFonts w:ascii="標楷體" w:eastAsia="標楷體"/>
        </w:rPr>
      </w:pPr>
      <w:r w:rsidRPr="003F1A30">
        <w:rPr>
          <w:rFonts w:ascii="標楷體" w:eastAsia="標楷體" w:hint="eastAsia"/>
        </w:rPr>
        <w:t xml:space="preserve"> 固體廢棄物於溶液狀態下氫離子濃度指數（pH值）大於等於十二．五或小於等於二．○；或在攝氏溫度五十五度時對鋼（中華民國國家標準鋼材Ｓ二○Ｃ）之腐蝕速率每年超過六．三五毫米者。</w:t>
      </w:r>
    </w:p>
    <w:p w:rsidR="003F1A30" w:rsidRPr="003F1A30" w:rsidRDefault="003F1A30" w:rsidP="003F1A30">
      <w:pPr>
        <w:ind w:leftChars="199" w:left="1131" w:hangingChars="272" w:hanging="65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（六）</w:t>
      </w:r>
      <w:r w:rsidRPr="003F1A30">
        <w:rPr>
          <w:rFonts w:ascii="標楷體" w:eastAsia="標楷體" w:hint="eastAsia"/>
        </w:rPr>
        <w:t>易燃性事業廢棄物：指事業廢棄物具有下列性質之一者：</w:t>
      </w:r>
    </w:p>
    <w:p w:rsidR="003F1A30" w:rsidRPr="003F1A30" w:rsidRDefault="003F1A30" w:rsidP="003F1A30">
      <w:pPr>
        <w:pStyle w:val="a8"/>
        <w:numPr>
          <w:ilvl w:val="0"/>
          <w:numId w:val="37"/>
        </w:numPr>
        <w:ind w:leftChars="0" w:left="1418" w:hanging="284"/>
        <w:jc w:val="both"/>
        <w:rPr>
          <w:rFonts w:ascii="標楷體" w:eastAsia="標楷體"/>
        </w:rPr>
      </w:pPr>
      <w:r w:rsidRPr="003F1A30">
        <w:rPr>
          <w:rFonts w:ascii="標楷體" w:eastAsia="標楷體" w:hint="eastAsia"/>
        </w:rPr>
        <w:t>廢液閃火點小於攝氏溫度六十度者。但不包括乙醇體積濃度小於百分之二十四之酒類廢棄物。</w:t>
      </w:r>
    </w:p>
    <w:p w:rsidR="003F1A30" w:rsidRPr="003F1A30" w:rsidRDefault="003F1A30" w:rsidP="003F1A30">
      <w:pPr>
        <w:pStyle w:val="a8"/>
        <w:numPr>
          <w:ilvl w:val="0"/>
          <w:numId w:val="37"/>
        </w:numPr>
        <w:ind w:leftChars="0" w:left="1418" w:hanging="284"/>
        <w:jc w:val="both"/>
        <w:rPr>
          <w:rFonts w:ascii="標楷體" w:eastAsia="標楷體"/>
        </w:rPr>
      </w:pPr>
      <w:r w:rsidRPr="003F1A30">
        <w:rPr>
          <w:rFonts w:ascii="標楷體" w:eastAsia="標楷體" w:hint="eastAsia"/>
        </w:rPr>
        <w:t>固體廢棄物於攝氏溫度二十五度加減二度、一大氣壓下（以下簡稱常溫常壓）可因摩擦、吸水或自發性化學反應而起火燃燒引起危害者。</w:t>
      </w:r>
    </w:p>
    <w:p w:rsidR="003F1A30" w:rsidRPr="003F1A30" w:rsidRDefault="003F1A30" w:rsidP="003F1A30">
      <w:pPr>
        <w:pStyle w:val="a8"/>
        <w:numPr>
          <w:ilvl w:val="0"/>
          <w:numId w:val="37"/>
        </w:numPr>
        <w:ind w:leftChars="0" w:left="1418" w:hanging="284"/>
        <w:jc w:val="both"/>
        <w:rPr>
          <w:rFonts w:ascii="標楷體" w:eastAsia="標楷體"/>
        </w:rPr>
      </w:pPr>
      <w:r w:rsidRPr="003F1A30">
        <w:rPr>
          <w:rFonts w:ascii="標楷體" w:eastAsia="標楷體" w:hint="eastAsia"/>
        </w:rPr>
        <w:t>可直接釋出氧、激發物質燃燒之廢強氧化劑。</w:t>
      </w:r>
    </w:p>
    <w:p w:rsidR="003F1A30" w:rsidRPr="003F1A30" w:rsidRDefault="003F1A30" w:rsidP="003F1A30">
      <w:pPr>
        <w:ind w:leftChars="199" w:left="1131" w:hangingChars="272" w:hanging="65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（七）</w:t>
      </w:r>
      <w:r w:rsidRPr="003F1A30">
        <w:rPr>
          <w:rFonts w:ascii="標楷體" w:eastAsia="標楷體" w:hint="eastAsia"/>
        </w:rPr>
        <w:t>反應性事業廢棄物：指事業廢棄物具有下列性質之一者：</w:t>
      </w:r>
    </w:p>
    <w:p w:rsidR="003F1A30" w:rsidRPr="003F1A30" w:rsidRDefault="003F1A30" w:rsidP="003F1A30">
      <w:pPr>
        <w:pStyle w:val="a8"/>
        <w:numPr>
          <w:ilvl w:val="0"/>
          <w:numId w:val="36"/>
        </w:numPr>
        <w:ind w:leftChars="0" w:left="1418" w:hanging="284"/>
        <w:jc w:val="both"/>
        <w:rPr>
          <w:rFonts w:ascii="標楷體" w:eastAsia="標楷體"/>
        </w:rPr>
      </w:pPr>
      <w:r w:rsidRPr="003F1A30">
        <w:rPr>
          <w:rFonts w:ascii="標楷體" w:eastAsia="標楷體" w:hint="eastAsia"/>
        </w:rPr>
        <w:t>常溫常壓下易產生爆炸者。</w:t>
      </w:r>
    </w:p>
    <w:p w:rsidR="003F1A30" w:rsidRPr="003F1A30" w:rsidRDefault="003F1A30" w:rsidP="003F1A30">
      <w:pPr>
        <w:pStyle w:val="a8"/>
        <w:numPr>
          <w:ilvl w:val="0"/>
          <w:numId w:val="36"/>
        </w:numPr>
        <w:ind w:leftChars="0" w:left="1418" w:hanging="284"/>
        <w:jc w:val="both"/>
        <w:rPr>
          <w:rFonts w:ascii="標楷體" w:eastAsia="標楷體"/>
        </w:rPr>
      </w:pPr>
      <w:r w:rsidRPr="003F1A30">
        <w:rPr>
          <w:rFonts w:ascii="標楷體" w:eastAsia="標楷體" w:hint="eastAsia"/>
        </w:rPr>
        <w:t>與水混合會產生劇烈反應或爆炸之物質或其混合物。</w:t>
      </w:r>
    </w:p>
    <w:p w:rsidR="003F1A30" w:rsidRPr="003F1A30" w:rsidRDefault="003F1A30" w:rsidP="003F1A30">
      <w:pPr>
        <w:pStyle w:val="a8"/>
        <w:numPr>
          <w:ilvl w:val="0"/>
          <w:numId w:val="36"/>
        </w:numPr>
        <w:ind w:leftChars="0" w:left="1418" w:hanging="284"/>
        <w:jc w:val="both"/>
        <w:rPr>
          <w:rFonts w:ascii="標楷體" w:eastAsia="標楷體"/>
        </w:rPr>
      </w:pPr>
      <w:r w:rsidRPr="003F1A30">
        <w:rPr>
          <w:rFonts w:ascii="標楷體" w:eastAsia="標楷體" w:hint="eastAsia"/>
        </w:rPr>
        <w:t>含氰化物且其氫離子濃度指數（pH值）於二．○至十二．五間，會產生二五○mgHCN／kg以上之有毒氣體者。</w:t>
      </w:r>
    </w:p>
    <w:p w:rsidR="003F1A30" w:rsidRPr="003F1A30" w:rsidRDefault="003F1A30" w:rsidP="003F1A30">
      <w:pPr>
        <w:pStyle w:val="a8"/>
        <w:numPr>
          <w:ilvl w:val="0"/>
          <w:numId w:val="36"/>
        </w:numPr>
        <w:ind w:leftChars="0" w:left="1418" w:hanging="284"/>
        <w:jc w:val="both"/>
        <w:rPr>
          <w:rFonts w:ascii="標楷體" w:eastAsia="標楷體"/>
        </w:rPr>
      </w:pPr>
      <w:r w:rsidRPr="003F1A30">
        <w:rPr>
          <w:rFonts w:ascii="標楷體" w:eastAsia="標楷體" w:hint="eastAsia"/>
        </w:rPr>
        <w:t>含硫化物且其氫離子濃度指數（pH值）於二．○至十二．五間，會產生五○○mgHS／kg以上之有毒氣體者。</w:t>
      </w:r>
    </w:p>
    <w:p w:rsidR="003F1A30" w:rsidRPr="003F1A30" w:rsidRDefault="003F1A30" w:rsidP="003F1A30">
      <w:pPr>
        <w:ind w:leftChars="199" w:left="1131" w:hangingChars="272" w:hanging="653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（八）</w:t>
      </w:r>
      <w:r w:rsidRPr="003F1A30">
        <w:rPr>
          <w:rFonts w:ascii="標楷體" w:eastAsia="標楷體" w:hint="eastAsia"/>
        </w:rPr>
        <w:t>石綿及其製品廢棄物：指事業廢棄物具有下列性質之一者：</w:t>
      </w:r>
    </w:p>
    <w:p w:rsidR="003F1A30" w:rsidRPr="003F1A30" w:rsidRDefault="003F1A30" w:rsidP="003F1A30">
      <w:pPr>
        <w:pStyle w:val="a8"/>
        <w:numPr>
          <w:ilvl w:val="0"/>
          <w:numId w:val="35"/>
        </w:numPr>
        <w:ind w:leftChars="0" w:left="1418" w:hanging="284"/>
        <w:jc w:val="both"/>
        <w:rPr>
          <w:rFonts w:ascii="標楷體" w:eastAsia="標楷體"/>
        </w:rPr>
      </w:pPr>
      <w:r w:rsidRPr="003F1A30">
        <w:rPr>
          <w:rFonts w:ascii="標楷體" w:eastAsia="標楷體" w:hint="eastAsia"/>
        </w:rPr>
        <w:t>製造含石綿之防火、隔熱、保溫材料及煞車來令片等磨擦材料研磨、修邊、鑽孔等加工過程中產生易飛散性之廢棄物。</w:t>
      </w:r>
    </w:p>
    <w:p w:rsidR="003F1A30" w:rsidRPr="003F1A30" w:rsidRDefault="003F1A30" w:rsidP="003F1A30">
      <w:pPr>
        <w:pStyle w:val="a8"/>
        <w:numPr>
          <w:ilvl w:val="0"/>
          <w:numId w:val="35"/>
        </w:numPr>
        <w:ind w:leftChars="0" w:left="1418" w:hanging="284"/>
        <w:jc w:val="both"/>
        <w:rPr>
          <w:rFonts w:ascii="標楷體" w:eastAsia="標楷體"/>
        </w:rPr>
      </w:pPr>
      <w:r w:rsidRPr="003F1A30">
        <w:rPr>
          <w:rFonts w:ascii="標楷體" w:eastAsia="標楷體" w:hint="eastAsia"/>
        </w:rPr>
        <w:t>施工過程中吹噴石綿所產生之廢棄物。</w:t>
      </w:r>
    </w:p>
    <w:p w:rsidR="003F1A30" w:rsidRPr="003F1A30" w:rsidRDefault="003F1A30" w:rsidP="003F1A30">
      <w:pPr>
        <w:pStyle w:val="a8"/>
        <w:numPr>
          <w:ilvl w:val="0"/>
          <w:numId w:val="35"/>
        </w:numPr>
        <w:ind w:leftChars="0" w:left="1418" w:hanging="284"/>
        <w:jc w:val="both"/>
        <w:rPr>
          <w:rFonts w:ascii="標楷體" w:eastAsia="標楷體"/>
        </w:rPr>
      </w:pPr>
      <w:r w:rsidRPr="003F1A30">
        <w:rPr>
          <w:rFonts w:ascii="標楷體" w:eastAsia="標楷體" w:hint="eastAsia"/>
        </w:rPr>
        <w:t>更新或移除使用含石綿之防火、隔熱、保溫材料及煞車來令片等過程中，所產生易飛散性之廢棄物。</w:t>
      </w:r>
    </w:p>
    <w:p w:rsidR="003F1A30" w:rsidRPr="003F1A30" w:rsidRDefault="003F1A30" w:rsidP="003F1A30">
      <w:pPr>
        <w:pStyle w:val="a8"/>
        <w:numPr>
          <w:ilvl w:val="0"/>
          <w:numId w:val="35"/>
        </w:numPr>
        <w:ind w:leftChars="0" w:left="1418" w:hanging="284"/>
        <w:jc w:val="both"/>
        <w:rPr>
          <w:rFonts w:ascii="標楷體" w:eastAsia="標楷體"/>
        </w:rPr>
      </w:pPr>
      <w:r w:rsidRPr="003F1A30">
        <w:rPr>
          <w:rFonts w:ascii="標楷體" w:eastAsia="標楷體" w:hint="eastAsia"/>
        </w:rPr>
        <w:t>盛裝石綿原料袋。</w:t>
      </w:r>
    </w:p>
    <w:p w:rsidR="003F1A30" w:rsidRDefault="003F1A30" w:rsidP="003F1A30">
      <w:pPr>
        <w:pStyle w:val="a8"/>
        <w:numPr>
          <w:ilvl w:val="0"/>
          <w:numId w:val="35"/>
        </w:numPr>
        <w:ind w:leftChars="0" w:left="1418" w:hanging="284"/>
        <w:jc w:val="both"/>
        <w:rPr>
          <w:rFonts w:ascii="標楷體" w:eastAsia="標楷體"/>
        </w:rPr>
      </w:pPr>
      <w:r w:rsidRPr="003F1A30">
        <w:rPr>
          <w:rFonts w:ascii="標楷體" w:eastAsia="標楷體" w:hint="eastAsia"/>
        </w:rPr>
        <w:t>其他含有百分之一以上石綿且具有易飛散性質之廢棄物。</w:t>
      </w:r>
    </w:p>
    <w:p w:rsidR="001A597C" w:rsidRPr="00942574" w:rsidRDefault="001A597C" w:rsidP="00942574">
      <w:pPr>
        <w:numPr>
          <w:ilvl w:val="0"/>
          <w:numId w:val="1"/>
        </w:numPr>
        <w:jc w:val="both"/>
        <w:rPr>
          <w:rFonts w:ascii="標楷體" w:eastAsia="標楷體"/>
        </w:rPr>
      </w:pPr>
      <w:r w:rsidRPr="00942574">
        <w:rPr>
          <w:rFonts w:ascii="標楷體" w:eastAsia="標楷體" w:hint="eastAsia"/>
        </w:rPr>
        <w:t>有害事業廢棄物分類</w:t>
      </w:r>
      <w:r w:rsidR="00411A13">
        <w:rPr>
          <w:rFonts w:ascii="標楷體" w:eastAsia="標楷體" w:hint="eastAsia"/>
        </w:rPr>
        <w:t>與暫貯存</w:t>
      </w:r>
      <w:r w:rsidRPr="00942574">
        <w:rPr>
          <w:rFonts w:ascii="標楷體" w:eastAsia="標楷體" w:hint="eastAsia"/>
        </w:rPr>
        <w:t>：</w:t>
      </w:r>
    </w:p>
    <w:p w:rsidR="00996B4D" w:rsidRDefault="001A597C" w:rsidP="009F22F0">
      <w:pPr>
        <w:ind w:leftChars="177" w:left="1133" w:hangingChars="295" w:hanging="708"/>
        <w:rPr>
          <w:rFonts w:ascii="標楷體" w:eastAsia="標楷體"/>
        </w:rPr>
      </w:pPr>
      <w:r>
        <w:rPr>
          <w:rFonts w:ascii="標楷體" w:eastAsia="標楷體" w:hint="eastAsia"/>
        </w:rPr>
        <w:t>（一）</w:t>
      </w:r>
      <w:r w:rsidR="005F2C39">
        <w:rPr>
          <w:rFonts w:ascii="標楷體" w:eastAsia="標楷體" w:hint="eastAsia"/>
        </w:rPr>
        <w:t>生物醫療廢棄物：</w:t>
      </w:r>
    </w:p>
    <w:p w:rsidR="00996B4D" w:rsidRDefault="009F22F0" w:rsidP="00996B4D">
      <w:pPr>
        <w:pStyle w:val="a8"/>
        <w:numPr>
          <w:ilvl w:val="0"/>
          <w:numId w:val="38"/>
        </w:numPr>
        <w:ind w:leftChars="0" w:left="1418" w:hanging="284"/>
        <w:jc w:val="both"/>
        <w:rPr>
          <w:rFonts w:ascii="標楷體" w:eastAsia="標楷體"/>
        </w:rPr>
      </w:pPr>
      <w:r w:rsidRPr="009F22F0">
        <w:rPr>
          <w:rFonts w:ascii="標楷體" w:eastAsia="標楷體" w:hint="eastAsia"/>
        </w:rPr>
        <w:t>指醫療機構、醫事檢驗所、醫學實驗室、工業及研究機構生物安全等級第二級以上之實驗室、從事基因或生物科技研究之實驗室、生物科技工廠及製藥工廠，於醫療、醫事檢驗、驗屍、檢疫、研究、藥品或生物材料製造過程中產生的廢棄物，包括：基因毒性廢棄物、廢尖銳器具、感染性廢棄物。</w:t>
      </w:r>
    </w:p>
    <w:p w:rsidR="00996B4D" w:rsidRDefault="00996B4D" w:rsidP="00996B4D">
      <w:pPr>
        <w:pStyle w:val="a8"/>
        <w:numPr>
          <w:ilvl w:val="0"/>
          <w:numId w:val="38"/>
        </w:numPr>
        <w:ind w:leftChars="0" w:left="1418" w:hanging="284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生物醫療廢棄物分類：</w:t>
      </w:r>
    </w:p>
    <w:p w:rsidR="00996B4D" w:rsidRDefault="00996B4D" w:rsidP="00996B4D">
      <w:pPr>
        <w:pStyle w:val="a8"/>
        <w:ind w:leftChars="0" w:left="1418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（1）熱處理法：以紅色可燃容器盛裝並確實密封。</w:t>
      </w:r>
    </w:p>
    <w:p w:rsidR="001A597C" w:rsidRDefault="00996B4D" w:rsidP="00996B4D">
      <w:pPr>
        <w:pStyle w:val="a8"/>
        <w:ind w:leftChars="0" w:left="1418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（2）滅菌法處理：以黃色不可燃容器盛裝並確實密封</w:t>
      </w:r>
      <w:r w:rsidR="00411A13">
        <w:rPr>
          <w:rFonts w:ascii="標楷體" w:eastAsia="標楷體" w:hint="eastAsia"/>
        </w:rPr>
        <w:t>。</w:t>
      </w:r>
    </w:p>
    <w:p w:rsidR="00996B4D" w:rsidRDefault="00996B4D" w:rsidP="00996B4D">
      <w:pPr>
        <w:pStyle w:val="a8"/>
        <w:numPr>
          <w:ilvl w:val="0"/>
          <w:numId w:val="38"/>
        </w:numPr>
        <w:ind w:leftChars="0" w:left="1418" w:hanging="284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貯存條件：</w:t>
      </w:r>
    </w:p>
    <w:p w:rsidR="00996B4D" w:rsidRPr="00996B4D" w:rsidRDefault="00996B4D" w:rsidP="00996B4D">
      <w:pPr>
        <w:pStyle w:val="a8"/>
        <w:ind w:leftChars="591" w:left="1984" w:hangingChars="236" w:hanging="566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（1）</w:t>
      </w:r>
      <w:r w:rsidRPr="00996B4D">
        <w:rPr>
          <w:rFonts w:ascii="標楷體" w:eastAsia="標楷體" w:hint="eastAsia"/>
        </w:rPr>
        <w:t>感染性廢棄物：</w:t>
      </w:r>
      <w:r>
        <w:rPr>
          <w:rFonts w:ascii="標楷體" w:eastAsia="標楷體" w:hint="eastAsia"/>
        </w:rPr>
        <w:t>攝氏</w:t>
      </w:r>
      <w:r w:rsidR="00ED0EE5">
        <w:rPr>
          <w:rFonts w:ascii="標楷體" w:eastAsia="標楷體" w:hint="eastAsia"/>
        </w:rPr>
        <w:t>溫度五</w:t>
      </w:r>
      <w:r w:rsidRPr="00996B4D">
        <w:rPr>
          <w:rFonts w:ascii="標楷體" w:eastAsia="標楷體" w:hint="eastAsia"/>
        </w:rPr>
        <w:t>℃以上</w:t>
      </w:r>
      <w:r>
        <w:rPr>
          <w:rFonts w:ascii="標楷體" w:eastAsia="標楷體" w:hint="eastAsia"/>
        </w:rPr>
        <w:t>可存放</w:t>
      </w:r>
      <w:r w:rsidR="00ED0EE5">
        <w:rPr>
          <w:rFonts w:ascii="標楷體" w:eastAsia="標楷體" w:hint="eastAsia"/>
        </w:rPr>
        <w:t>一</w:t>
      </w:r>
      <w:r w:rsidRPr="00996B4D">
        <w:rPr>
          <w:rFonts w:ascii="標楷體" w:eastAsia="標楷體" w:hint="eastAsia"/>
        </w:rPr>
        <w:t>日以內</w:t>
      </w:r>
      <w:r>
        <w:rPr>
          <w:rFonts w:ascii="標楷體" w:eastAsia="標楷體" w:hint="eastAsia"/>
        </w:rPr>
        <w:t>、攝氏</w:t>
      </w:r>
      <w:r w:rsidR="00ED0EE5">
        <w:rPr>
          <w:rFonts w:ascii="標楷體" w:eastAsia="標楷體" w:hint="eastAsia"/>
        </w:rPr>
        <w:t>溫度</w:t>
      </w:r>
      <w:r w:rsidR="00ED0EE5" w:rsidRPr="003F1A30">
        <w:rPr>
          <w:rFonts w:ascii="標楷體" w:eastAsia="標楷體" w:hint="eastAsia"/>
        </w:rPr>
        <w:t>○</w:t>
      </w:r>
      <w:r w:rsidR="00ED0EE5">
        <w:rPr>
          <w:rFonts w:ascii="標楷體" w:eastAsia="標楷體" w:hint="eastAsia"/>
        </w:rPr>
        <w:t>至五</w:t>
      </w:r>
      <w:r w:rsidRPr="00996B4D">
        <w:rPr>
          <w:rFonts w:ascii="標楷體" w:eastAsia="標楷體" w:hint="eastAsia"/>
        </w:rPr>
        <w:t>℃</w:t>
      </w:r>
      <w:r>
        <w:rPr>
          <w:rFonts w:ascii="標楷體" w:eastAsia="標楷體" w:hint="eastAsia"/>
        </w:rPr>
        <w:t>之</w:t>
      </w:r>
      <w:r w:rsidRPr="00996B4D">
        <w:rPr>
          <w:rFonts w:ascii="標楷體" w:eastAsia="標楷體" w:hint="eastAsia"/>
        </w:rPr>
        <w:t>冷藏</w:t>
      </w:r>
      <w:r>
        <w:rPr>
          <w:rFonts w:ascii="標楷體" w:eastAsia="標楷體" w:hint="eastAsia"/>
        </w:rPr>
        <w:t>可存放</w:t>
      </w:r>
      <w:r w:rsidRPr="00996B4D">
        <w:rPr>
          <w:rFonts w:ascii="標楷體" w:eastAsia="標楷體"/>
        </w:rPr>
        <w:t xml:space="preserve"> </w:t>
      </w:r>
      <w:r w:rsidR="00ED0EE5">
        <w:rPr>
          <w:rFonts w:ascii="標楷體" w:eastAsia="標楷體" w:hint="eastAsia"/>
        </w:rPr>
        <w:t>七</w:t>
      </w:r>
      <w:r w:rsidRPr="00996B4D">
        <w:rPr>
          <w:rFonts w:ascii="標楷體" w:eastAsia="標楷體" w:hint="eastAsia"/>
        </w:rPr>
        <w:t>日以內</w:t>
      </w:r>
      <w:r>
        <w:rPr>
          <w:rFonts w:ascii="標楷體" w:eastAsia="標楷體" w:hint="eastAsia"/>
        </w:rPr>
        <w:t>、攝氏</w:t>
      </w:r>
      <w:r w:rsidR="00ED0EE5">
        <w:rPr>
          <w:rFonts w:ascii="標楷體" w:eastAsia="標楷體" w:hint="eastAsia"/>
        </w:rPr>
        <w:t>溫度</w:t>
      </w:r>
      <w:r w:rsidR="00ED0EE5" w:rsidRPr="003F1A30">
        <w:rPr>
          <w:rFonts w:ascii="標楷體" w:eastAsia="標楷體" w:hint="eastAsia"/>
        </w:rPr>
        <w:t>○</w:t>
      </w:r>
      <w:r w:rsidRPr="00996B4D">
        <w:rPr>
          <w:rFonts w:ascii="標楷體" w:eastAsia="標楷體" w:hint="eastAsia"/>
        </w:rPr>
        <w:t>℃以下</w:t>
      </w:r>
      <w:r>
        <w:rPr>
          <w:rFonts w:ascii="標楷體" w:eastAsia="標楷體" w:hint="eastAsia"/>
        </w:rPr>
        <w:t>之</w:t>
      </w:r>
      <w:r w:rsidRPr="00996B4D">
        <w:rPr>
          <w:rFonts w:ascii="標楷體" w:eastAsia="標楷體" w:hint="eastAsia"/>
        </w:rPr>
        <w:t>冷凍</w:t>
      </w:r>
      <w:r>
        <w:rPr>
          <w:rFonts w:ascii="標楷體" w:eastAsia="標楷體" w:hint="eastAsia"/>
        </w:rPr>
        <w:t>可存放</w:t>
      </w:r>
      <w:r w:rsidR="00ED0EE5">
        <w:rPr>
          <w:rFonts w:ascii="標楷體" w:eastAsia="標楷體" w:hint="eastAsia"/>
        </w:rPr>
        <w:t>三十</w:t>
      </w:r>
      <w:r w:rsidRPr="00996B4D">
        <w:rPr>
          <w:rFonts w:ascii="標楷體" w:eastAsia="標楷體" w:hint="eastAsia"/>
        </w:rPr>
        <w:t>日以內</w:t>
      </w:r>
      <w:r>
        <w:rPr>
          <w:rFonts w:ascii="標楷體" w:eastAsia="標楷體" w:hint="eastAsia"/>
        </w:rPr>
        <w:t>。</w:t>
      </w:r>
    </w:p>
    <w:p w:rsidR="00996B4D" w:rsidRDefault="00996B4D" w:rsidP="00996B4D">
      <w:pPr>
        <w:pStyle w:val="a8"/>
        <w:ind w:leftChars="591" w:left="1984" w:hangingChars="236" w:hanging="566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（2）</w:t>
      </w:r>
      <w:r w:rsidRPr="00996B4D">
        <w:rPr>
          <w:rFonts w:ascii="標楷體" w:eastAsia="標楷體" w:hint="eastAsia"/>
        </w:rPr>
        <w:t>廢尖銳器具以一年為限</w:t>
      </w:r>
      <w:r>
        <w:rPr>
          <w:rFonts w:ascii="標楷體" w:eastAsia="標楷體" w:hint="eastAsia"/>
        </w:rPr>
        <w:t>。</w:t>
      </w:r>
    </w:p>
    <w:p w:rsidR="00FF5E93" w:rsidRDefault="001A597C" w:rsidP="00836E61">
      <w:pPr>
        <w:ind w:leftChars="150" w:left="1080" w:hangingChars="300" w:hanging="7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（二）</w:t>
      </w:r>
      <w:r w:rsidR="00AD01ED" w:rsidRPr="00AD01ED">
        <w:rPr>
          <w:rFonts w:ascii="標楷體" w:eastAsia="標楷體" w:hint="eastAsia"/>
        </w:rPr>
        <w:t>實驗室廢液：</w:t>
      </w:r>
      <w:r w:rsidR="00836E61">
        <w:rPr>
          <w:rFonts w:ascii="標楷體" w:eastAsia="標楷體" w:hint="eastAsia"/>
        </w:rPr>
        <w:t>分類為</w:t>
      </w:r>
      <w:r w:rsidR="00FF5E93">
        <w:rPr>
          <w:rFonts w:ascii="標楷體" w:eastAsia="標楷體" w:hint="eastAsia"/>
        </w:rPr>
        <w:t>：</w:t>
      </w:r>
    </w:p>
    <w:p w:rsidR="00836E61" w:rsidRDefault="00836E61" w:rsidP="00FF5E93">
      <w:pPr>
        <w:pStyle w:val="a8"/>
        <w:numPr>
          <w:ilvl w:val="0"/>
          <w:numId w:val="40"/>
        </w:numPr>
        <w:ind w:leftChars="0" w:left="1418" w:hanging="284"/>
        <w:jc w:val="both"/>
        <w:rPr>
          <w:rFonts w:ascii="標楷體" w:eastAsia="標楷體"/>
        </w:rPr>
      </w:pPr>
      <w:r w:rsidRPr="00836E61">
        <w:rPr>
          <w:rFonts w:ascii="標楷體" w:eastAsia="標楷體" w:hint="eastAsia"/>
        </w:rPr>
        <w:t>有機廢液類</w:t>
      </w:r>
      <w:r w:rsidR="00FF5E93">
        <w:rPr>
          <w:rFonts w:ascii="標楷體" w:eastAsia="標楷體" w:hint="eastAsia"/>
        </w:rPr>
        <w:t>：</w:t>
      </w:r>
    </w:p>
    <w:p w:rsidR="00FF5E93" w:rsidRDefault="00FF5E93" w:rsidP="00FF5E93">
      <w:pPr>
        <w:pStyle w:val="a8"/>
        <w:ind w:leftChars="0" w:left="1418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（1）</w:t>
      </w:r>
      <w:r w:rsidRPr="00836E61">
        <w:rPr>
          <w:rFonts w:ascii="標楷體" w:eastAsia="標楷體" w:hint="eastAsia"/>
        </w:rPr>
        <w:t>油脂類</w:t>
      </w:r>
    </w:p>
    <w:p w:rsidR="00FF5E93" w:rsidRDefault="00FF5E93" w:rsidP="00FF5E93">
      <w:pPr>
        <w:pStyle w:val="a8"/>
        <w:ind w:leftChars="0" w:left="1418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（2）</w:t>
      </w:r>
      <w:r w:rsidRPr="00836E61">
        <w:rPr>
          <w:rFonts w:ascii="標楷體" w:eastAsia="標楷體" w:hint="eastAsia"/>
        </w:rPr>
        <w:t>鹵素類有機溶劑類</w:t>
      </w:r>
    </w:p>
    <w:p w:rsidR="00FF5E93" w:rsidRDefault="00FF5E93" w:rsidP="00FF5E93">
      <w:pPr>
        <w:pStyle w:val="a8"/>
        <w:ind w:leftChars="0" w:left="1418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（3）</w:t>
      </w:r>
      <w:r w:rsidRPr="00836E61">
        <w:rPr>
          <w:rFonts w:ascii="標楷體" w:eastAsia="標楷體" w:hint="eastAsia"/>
        </w:rPr>
        <w:t>不含鹵素類有機溶劑類</w:t>
      </w:r>
    </w:p>
    <w:p w:rsidR="00FF5E93" w:rsidRDefault="00FF5E93" w:rsidP="00FF5E93">
      <w:pPr>
        <w:pStyle w:val="a8"/>
        <w:numPr>
          <w:ilvl w:val="0"/>
          <w:numId w:val="40"/>
        </w:numPr>
        <w:ind w:leftChars="0" w:left="1418" w:hanging="284"/>
        <w:jc w:val="both"/>
        <w:rPr>
          <w:rFonts w:ascii="標楷體" w:eastAsia="標楷體"/>
        </w:rPr>
      </w:pPr>
      <w:r w:rsidRPr="00836E61">
        <w:rPr>
          <w:rFonts w:ascii="標楷體" w:eastAsia="標楷體" w:hint="eastAsia"/>
        </w:rPr>
        <w:t>無機廢液類</w:t>
      </w:r>
    </w:p>
    <w:p w:rsidR="00FF5E93" w:rsidRPr="00FF5E93" w:rsidRDefault="00FF5E93" w:rsidP="00FF5E93">
      <w:pPr>
        <w:pStyle w:val="a8"/>
        <w:ind w:leftChars="590" w:left="1416"/>
        <w:jc w:val="both"/>
        <w:rPr>
          <w:rFonts w:ascii="標楷體" w:eastAsia="標楷體"/>
        </w:rPr>
      </w:pPr>
      <w:r w:rsidRPr="00FF5E93">
        <w:rPr>
          <w:rFonts w:ascii="標楷體" w:eastAsia="標楷體" w:hint="eastAsia"/>
        </w:rPr>
        <w:t>（1）</w:t>
      </w:r>
      <w:r w:rsidRPr="00836E61">
        <w:rPr>
          <w:rFonts w:ascii="標楷體" w:eastAsia="標楷體" w:hint="eastAsia"/>
        </w:rPr>
        <w:t>含重金屬廢液</w:t>
      </w:r>
    </w:p>
    <w:p w:rsidR="00FF5E93" w:rsidRPr="00FF5E93" w:rsidRDefault="00FF5E93" w:rsidP="00FF5E93">
      <w:pPr>
        <w:pStyle w:val="a8"/>
        <w:ind w:leftChars="590" w:left="1416"/>
        <w:jc w:val="both"/>
        <w:rPr>
          <w:rFonts w:ascii="標楷體" w:eastAsia="標楷體"/>
        </w:rPr>
      </w:pPr>
      <w:r w:rsidRPr="00FF5E93">
        <w:rPr>
          <w:rFonts w:ascii="標楷體" w:eastAsia="標楷體" w:hint="eastAsia"/>
        </w:rPr>
        <w:t>（2）</w:t>
      </w:r>
      <w:r w:rsidRPr="00836E61">
        <w:rPr>
          <w:rFonts w:ascii="標楷體" w:eastAsia="標楷體" w:hint="eastAsia"/>
        </w:rPr>
        <w:t>含氰廢液</w:t>
      </w:r>
    </w:p>
    <w:p w:rsidR="00FF5E93" w:rsidRDefault="00FF5E93" w:rsidP="00FF5E93">
      <w:pPr>
        <w:pStyle w:val="a8"/>
        <w:ind w:leftChars="0" w:left="1418"/>
        <w:jc w:val="both"/>
        <w:rPr>
          <w:rFonts w:ascii="標楷體" w:eastAsia="標楷體"/>
        </w:rPr>
      </w:pPr>
      <w:r w:rsidRPr="00FF5E93">
        <w:rPr>
          <w:rFonts w:ascii="標楷體" w:eastAsia="標楷體" w:hint="eastAsia"/>
        </w:rPr>
        <w:t>（3）</w:t>
      </w:r>
      <w:r w:rsidRPr="00836E61">
        <w:rPr>
          <w:rFonts w:ascii="標楷體" w:eastAsia="標楷體" w:hint="eastAsia"/>
        </w:rPr>
        <w:t>含汞廢液</w:t>
      </w:r>
    </w:p>
    <w:p w:rsidR="00FF5E93" w:rsidRDefault="00FF5E93" w:rsidP="00FF5E93">
      <w:pPr>
        <w:pStyle w:val="a8"/>
        <w:ind w:leftChars="0" w:left="1418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（4）</w:t>
      </w:r>
      <w:r w:rsidRPr="00836E61">
        <w:rPr>
          <w:rFonts w:ascii="標楷體" w:eastAsia="標楷體" w:hint="eastAsia"/>
        </w:rPr>
        <w:t>含氟廢液</w:t>
      </w:r>
    </w:p>
    <w:p w:rsidR="00FF5E93" w:rsidRDefault="00FF5E93" w:rsidP="00FF5E93">
      <w:pPr>
        <w:pStyle w:val="a8"/>
        <w:ind w:leftChars="0" w:left="1418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（5）</w:t>
      </w:r>
      <w:r w:rsidRPr="00836E61">
        <w:rPr>
          <w:rFonts w:ascii="標楷體" w:eastAsia="標楷體" w:hint="eastAsia"/>
        </w:rPr>
        <w:t>酸鹼性廢液</w:t>
      </w:r>
    </w:p>
    <w:p w:rsidR="00FF5E93" w:rsidRPr="00FF5E93" w:rsidRDefault="00FF5E93" w:rsidP="00FF5E93">
      <w:pPr>
        <w:pStyle w:val="a8"/>
        <w:ind w:leftChars="0" w:left="1418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（6）</w:t>
      </w:r>
      <w:r w:rsidRPr="00836E61">
        <w:rPr>
          <w:rFonts w:ascii="標楷體" w:eastAsia="標楷體" w:hint="eastAsia"/>
        </w:rPr>
        <w:t>含六價鉻化合物</w:t>
      </w:r>
    </w:p>
    <w:p w:rsidR="00FF5E93" w:rsidRPr="00836E61" w:rsidRDefault="00FF5E93" w:rsidP="00FF5E93">
      <w:pPr>
        <w:pStyle w:val="a8"/>
        <w:numPr>
          <w:ilvl w:val="0"/>
          <w:numId w:val="40"/>
        </w:numPr>
        <w:ind w:leftChars="0" w:left="1418" w:hanging="284"/>
        <w:jc w:val="both"/>
        <w:rPr>
          <w:rFonts w:ascii="標楷體" w:eastAsia="標楷體"/>
        </w:rPr>
      </w:pPr>
      <w:r w:rsidRPr="00836E61">
        <w:rPr>
          <w:rFonts w:ascii="標楷體" w:eastAsia="標楷體" w:hint="eastAsia"/>
        </w:rPr>
        <w:t>顯影液、定影液</w:t>
      </w:r>
    </w:p>
    <w:p w:rsidR="001A597C" w:rsidRDefault="00AD01ED" w:rsidP="00FF5E93">
      <w:pPr>
        <w:ind w:leftChars="414" w:left="994"/>
        <w:jc w:val="both"/>
        <w:rPr>
          <w:rFonts w:ascii="標楷體" w:eastAsia="標楷體"/>
        </w:rPr>
      </w:pPr>
      <w:r w:rsidRPr="00AD01ED">
        <w:rPr>
          <w:rFonts w:ascii="標楷體" w:eastAsia="標楷體" w:hint="eastAsia"/>
        </w:rPr>
        <w:t>貯存容器由本校環境保護暨安全衛生中心提供，貯存容器之標示如附圖一，廢液送至本校實驗室廢液貯存場時需繳交實驗室廢液存放記錄單(如附表</w:t>
      </w:r>
      <w:r w:rsidR="00B23E52">
        <w:rPr>
          <w:rFonts w:ascii="標楷體" w:eastAsia="標楷體" w:hint="eastAsia"/>
        </w:rPr>
        <w:t>一</w:t>
      </w:r>
      <w:r w:rsidRPr="00AD01ED">
        <w:rPr>
          <w:rFonts w:ascii="標楷體" w:eastAsia="標楷體" w:hint="eastAsia"/>
        </w:rPr>
        <w:t>)備查。廢液自暫貯存區運送至廢液貯存場之過程中，應防止廢液濺落、溢漏、惡臭擴散、爆炸等污染環境或危害人體健康之情事發生。</w:t>
      </w:r>
    </w:p>
    <w:p w:rsidR="001A597C" w:rsidRDefault="001A597C" w:rsidP="00942574">
      <w:pPr>
        <w:numPr>
          <w:ilvl w:val="0"/>
          <w:numId w:val="1"/>
        </w:num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有害廢棄物不得以一般廢棄物一同清理，如未依規定處理，造成本校受罰，違規實驗室或行為人將自行吸收罰款。</w:t>
      </w:r>
    </w:p>
    <w:p w:rsidR="00AD01ED" w:rsidRDefault="001A597C" w:rsidP="00942574">
      <w:pPr>
        <w:numPr>
          <w:ilvl w:val="0"/>
          <w:numId w:val="1"/>
        </w:numPr>
        <w:jc w:val="both"/>
        <w:rPr>
          <w:rFonts w:ascii="標楷體" w:eastAsia="標楷體"/>
        </w:rPr>
        <w:sectPr w:rsidR="00AD01ED" w:rsidSect="00AD01ED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int="eastAsia"/>
        </w:rPr>
        <w:t>本要點經校長核示後公佈實施，修正時亦同。</w:t>
      </w:r>
    </w:p>
    <w:p w:rsidR="001A597C" w:rsidRDefault="00F92E26" w:rsidP="00AD01ED">
      <w:pPr>
        <w:widowControl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附表</w:t>
      </w:r>
      <w:r w:rsidR="00B23E52">
        <w:rPr>
          <w:rFonts w:ascii="標楷體" w:eastAsia="標楷體" w:hint="eastAsia"/>
        </w:rPr>
        <w:t>一</w:t>
      </w:r>
      <w:r>
        <w:rPr>
          <w:rFonts w:ascii="標楷體" w:eastAsia="標楷體" w:hint="eastAsia"/>
        </w:rPr>
        <w:t xml:space="preserve">　</w:t>
      </w:r>
      <w:r w:rsidR="00A4349F" w:rsidRPr="00A4349F">
        <w:rPr>
          <w:rFonts w:ascii="標楷體" w:eastAsia="標楷體" w:hint="eastAsia"/>
        </w:rPr>
        <w:t>慈濟大學實驗室廢液存放記錄單</w:t>
      </w:r>
    </w:p>
    <w:p w:rsidR="00AD01ED" w:rsidRPr="00F92E26" w:rsidRDefault="00F92E26" w:rsidP="00AD01ED">
      <w:pPr>
        <w:jc w:val="center"/>
        <w:rPr>
          <w:rFonts w:eastAsia="標楷體"/>
          <w:b/>
          <w:bCs/>
          <w:sz w:val="32"/>
          <w:szCs w:val="32"/>
        </w:rPr>
      </w:pPr>
      <w:r w:rsidRPr="00F92E26">
        <w:rPr>
          <w:rFonts w:eastAsia="標楷體" w:hint="eastAsia"/>
          <w:b/>
          <w:bCs/>
          <w:sz w:val="32"/>
          <w:szCs w:val="32"/>
        </w:rPr>
        <w:t>慈</w:t>
      </w:r>
      <w:r w:rsidR="00AD01ED" w:rsidRPr="00F92E26">
        <w:rPr>
          <w:rFonts w:eastAsia="標楷體" w:hint="eastAsia"/>
          <w:b/>
          <w:bCs/>
          <w:sz w:val="32"/>
          <w:szCs w:val="32"/>
        </w:rPr>
        <w:t>濟大學實驗室廢液存放記錄單</w:t>
      </w:r>
    </w:p>
    <w:tbl>
      <w:tblPr>
        <w:tblW w:w="9844" w:type="dxa"/>
        <w:jc w:val="center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3120"/>
        <w:gridCol w:w="2225"/>
        <w:gridCol w:w="2696"/>
      </w:tblGrid>
      <w:tr w:rsidR="00AD01ED" w:rsidRPr="00F92E26" w:rsidTr="00F92E26">
        <w:trPr>
          <w:jc w:val="center"/>
        </w:trPr>
        <w:tc>
          <w:tcPr>
            <w:tcW w:w="1803" w:type="dxa"/>
            <w:vAlign w:val="center"/>
          </w:tcPr>
          <w:p w:rsidR="00AD01ED" w:rsidRPr="00F92E26" w:rsidRDefault="00AD01ED" w:rsidP="00FB6CF8">
            <w:pPr>
              <w:jc w:val="center"/>
              <w:rPr>
                <w:rFonts w:ascii="標楷體" w:eastAsia="標楷體"/>
                <w:szCs w:val="24"/>
              </w:rPr>
            </w:pPr>
            <w:r w:rsidRPr="00F92E26">
              <w:rPr>
                <w:rFonts w:ascii="標楷體" w:eastAsia="標楷體" w:hint="eastAsia"/>
                <w:szCs w:val="24"/>
              </w:rPr>
              <w:t>日　　期</w:t>
            </w:r>
          </w:p>
        </w:tc>
        <w:tc>
          <w:tcPr>
            <w:tcW w:w="3120" w:type="dxa"/>
            <w:vAlign w:val="center"/>
          </w:tcPr>
          <w:p w:rsidR="00AD01ED" w:rsidRPr="00F92E26" w:rsidRDefault="00AD01ED" w:rsidP="00FB6CF8">
            <w:pPr>
              <w:jc w:val="both"/>
              <w:rPr>
                <w:rFonts w:ascii="標楷體" w:eastAsia="標楷體"/>
                <w:szCs w:val="24"/>
              </w:rPr>
            </w:pPr>
            <w:r w:rsidRPr="00F92E26">
              <w:rPr>
                <w:rFonts w:ascii="標楷體" w:eastAsia="標楷體" w:hint="eastAsia"/>
                <w:szCs w:val="24"/>
              </w:rPr>
              <w:t xml:space="preserve">    年   月 </w:t>
            </w:r>
            <w:r w:rsidRPr="00F92E26">
              <w:rPr>
                <w:rFonts w:ascii="標楷體" w:eastAsia="標楷體"/>
                <w:szCs w:val="24"/>
              </w:rPr>
              <w:t xml:space="preserve">  </w:t>
            </w:r>
            <w:r w:rsidRPr="00F92E26">
              <w:rPr>
                <w:rFonts w:ascii="標楷體" w:eastAsia="標楷體" w:hint="eastAsia"/>
                <w:szCs w:val="24"/>
              </w:rPr>
              <w:t>日</w:t>
            </w:r>
          </w:p>
        </w:tc>
        <w:tc>
          <w:tcPr>
            <w:tcW w:w="2225" w:type="dxa"/>
            <w:vAlign w:val="center"/>
          </w:tcPr>
          <w:p w:rsidR="00F92E26" w:rsidRPr="00F92E26" w:rsidRDefault="00AD01ED" w:rsidP="00F92E26">
            <w:pPr>
              <w:jc w:val="center"/>
              <w:rPr>
                <w:rFonts w:ascii="標楷體" w:eastAsia="標楷體"/>
                <w:szCs w:val="24"/>
              </w:rPr>
            </w:pPr>
            <w:r w:rsidRPr="00F92E26">
              <w:rPr>
                <w:rFonts w:ascii="標楷體" w:eastAsia="標楷體" w:hint="eastAsia"/>
                <w:szCs w:val="24"/>
              </w:rPr>
              <w:t>容器編號</w:t>
            </w:r>
          </w:p>
          <w:p w:rsidR="00AD01ED" w:rsidRPr="00F92E26" w:rsidRDefault="00AD01ED" w:rsidP="00F92E26">
            <w:pPr>
              <w:jc w:val="center"/>
              <w:rPr>
                <w:rFonts w:ascii="標楷體" w:eastAsia="標楷體"/>
                <w:szCs w:val="24"/>
              </w:rPr>
            </w:pPr>
            <w:r w:rsidRPr="00F92E26">
              <w:rPr>
                <w:rFonts w:ascii="標楷體" w:eastAsia="標楷體" w:hint="eastAsia"/>
                <w:szCs w:val="24"/>
              </w:rPr>
              <w:t>[環安中心填寫]</w:t>
            </w:r>
          </w:p>
        </w:tc>
        <w:tc>
          <w:tcPr>
            <w:tcW w:w="2696" w:type="dxa"/>
            <w:vAlign w:val="center"/>
          </w:tcPr>
          <w:p w:rsidR="00AD01ED" w:rsidRPr="00F92E26" w:rsidRDefault="00AD01ED" w:rsidP="00FB6CF8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D01ED" w:rsidRPr="00F92E26" w:rsidTr="00AD01ED">
        <w:trPr>
          <w:cantSplit/>
          <w:trHeight w:val="523"/>
          <w:jc w:val="center"/>
        </w:trPr>
        <w:tc>
          <w:tcPr>
            <w:tcW w:w="1803" w:type="dxa"/>
            <w:vAlign w:val="center"/>
          </w:tcPr>
          <w:p w:rsidR="00AD01ED" w:rsidRPr="00F92E26" w:rsidRDefault="00AD01ED" w:rsidP="00FB6CF8">
            <w:pPr>
              <w:jc w:val="center"/>
              <w:rPr>
                <w:rFonts w:ascii="標楷體" w:eastAsia="標楷體"/>
                <w:szCs w:val="24"/>
              </w:rPr>
            </w:pPr>
            <w:r w:rsidRPr="00F92E26">
              <w:rPr>
                <w:rFonts w:ascii="標楷體" w:eastAsia="標楷體" w:hint="eastAsia"/>
                <w:szCs w:val="24"/>
              </w:rPr>
              <w:t>單位名稱</w:t>
            </w:r>
          </w:p>
        </w:tc>
        <w:tc>
          <w:tcPr>
            <w:tcW w:w="8041" w:type="dxa"/>
            <w:gridSpan w:val="3"/>
            <w:vAlign w:val="center"/>
          </w:tcPr>
          <w:p w:rsidR="00AD01ED" w:rsidRPr="00F92E26" w:rsidRDefault="00AD01ED" w:rsidP="00FB6CF8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D01ED" w:rsidRPr="00F92E26" w:rsidTr="00F92E26">
        <w:trPr>
          <w:cantSplit/>
          <w:trHeight w:val="523"/>
          <w:jc w:val="center"/>
        </w:trPr>
        <w:tc>
          <w:tcPr>
            <w:tcW w:w="1803" w:type="dxa"/>
            <w:vAlign w:val="center"/>
          </w:tcPr>
          <w:p w:rsidR="00AD01ED" w:rsidRPr="00F92E26" w:rsidRDefault="00AD01ED" w:rsidP="00FB6CF8">
            <w:pPr>
              <w:jc w:val="center"/>
              <w:rPr>
                <w:rFonts w:ascii="標楷體" w:eastAsia="標楷體"/>
                <w:szCs w:val="24"/>
              </w:rPr>
            </w:pPr>
            <w:r w:rsidRPr="00F92E26">
              <w:rPr>
                <w:rFonts w:ascii="標楷體" w:eastAsia="標楷體" w:hint="eastAsia"/>
                <w:szCs w:val="24"/>
              </w:rPr>
              <w:t>實驗室名稱</w:t>
            </w:r>
          </w:p>
        </w:tc>
        <w:tc>
          <w:tcPr>
            <w:tcW w:w="3120" w:type="dxa"/>
            <w:vAlign w:val="center"/>
          </w:tcPr>
          <w:p w:rsidR="00AD01ED" w:rsidRPr="00F92E26" w:rsidRDefault="00AD01ED" w:rsidP="00FB6CF8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AD01ED" w:rsidRPr="00F92E26" w:rsidRDefault="00AD01ED" w:rsidP="00FB6CF8">
            <w:pPr>
              <w:jc w:val="center"/>
              <w:rPr>
                <w:rFonts w:ascii="標楷體" w:eastAsia="標楷體"/>
                <w:szCs w:val="24"/>
              </w:rPr>
            </w:pPr>
            <w:r w:rsidRPr="00F92E26">
              <w:rPr>
                <w:rFonts w:ascii="標楷體" w:eastAsia="標楷體" w:hint="eastAsia"/>
                <w:szCs w:val="24"/>
              </w:rPr>
              <w:t>負責人簽名</w:t>
            </w:r>
          </w:p>
        </w:tc>
        <w:tc>
          <w:tcPr>
            <w:tcW w:w="2696" w:type="dxa"/>
            <w:vAlign w:val="center"/>
          </w:tcPr>
          <w:p w:rsidR="00AD01ED" w:rsidRPr="00F92E26" w:rsidRDefault="00AD01ED" w:rsidP="00FB6CF8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AD01ED" w:rsidRPr="00F92E26" w:rsidTr="00F92E26">
        <w:trPr>
          <w:trHeight w:val="523"/>
          <w:jc w:val="center"/>
        </w:trPr>
        <w:tc>
          <w:tcPr>
            <w:tcW w:w="1803" w:type="dxa"/>
            <w:vAlign w:val="center"/>
          </w:tcPr>
          <w:p w:rsidR="00AD01ED" w:rsidRPr="00F92E26" w:rsidRDefault="00AD01ED" w:rsidP="00FB6CF8">
            <w:pPr>
              <w:jc w:val="center"/>
              <w:rPr>
                <w:rFonts w:ascii="標楷體" w:eastAsia="標楷體"/>
                <w:szCs w:val="24"/>
              </w:rPr>
            </w:pPr>
            <w:r w:rsidRPr="00F92E26">
              <w:rPr>
                <w:rFonts w:ascii="標楷體" w:eastAsia="標楷體" w:hint="eastAsia"/>
                <w:szCs w:val="24"/>
              </w:rPr>
              <w:t>存放人簽名</w:t>
            </w:r>
          </w:p>
        </w:tc>
        <w:tc>
          <w:tcPr>
            <w:tcW w:w="3120" w:type="dxa"/>
            <w:vAlign w:val="center"/>
          </w:tcPr>
          <w:p w:rsidR="00AD01ED" w:rsidRPr="00F92E26" w:rsidRDefault="00AD01ED" w:rsidP="00FB6CF8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2225" w:type="dxa"/>
            <w:vAlign w:val="center"/>
          </w:tcPr>
          <w:p w:rsidR="00AD01ED" w:rsidRPr="00F92E26" w:rsidRDefault="00AD01ED" w:rsidP="00FB6CF8">
            <w:pPr>
              <w:jc w:val="center"/>
              <w:rPr>
                <w:rFonts w:ascii="標楷體" w:eastAsia="標楷體"/>
                <w:szCs w:val="24"/>
              </w:rPr>
            </w:pPr>
            <w:r w:rsidRPr="00F92E26">
              <w:rPr>
                <w:rFonts w:ascii="標楷體" w:eastAsia="標楷體" w:hint="eastAsia"/>
                <w:szCs w:val="24"/>
              </w:rPr>
              <w:t>存放量</w:t>
            </w:r>
          </w:p>
        </w:tc>
        <w:tc>
          <w:tcPr>
            <w:tcW w:w="2696" w:type="dxa"/>
            <w:vAlign w:val="center"/>
          </w:tcPr>
          <w:p w:rsidR="00AD01ED" w:rsidRPr="00F92E26" w:rsidRDefault="00AD01ED" w:rsidP="00FB6CF8">
            <w:pPr>
              <w:jc w:val="both"/>
              <w:rPr>
                <w:rFonts w:ascii="標楷體" w:eastAsia="標楷體"/>
                <w:szCs w:val="24"/>
              </w:rPr>
            </w:pPr>
            <w:r w:rsidRPr="00F92E26">
              <w:rPr>
                <w:rFonts w:ascii="標楷體" w:eastAsia="標楷體" w:hint="eastAsia"/>
                <w:szCs w:val="24"/>
              </w:rPr>
              <w:t xml:space="preserve">              公升</w:t>
            </w:r>
          </w:p>
        </w:tc>
      </w:tr>
    </w:tbl>
    <w:p w:rsidR="00AD01ED" w:rsidRPr="00F92E26" w:rsidRDefault="00AD01ED" w:rsidP="00FA08EF">
      <w:pPr>
        <w:adjustRightInd w:val="0"/>
        <w:snapToGrid w:val="0"/>
        <w:spacing w:beforeLines="20" w:before="72" w:afterLines="20" w:after="72"/>
        <w:ind w:leftChars="-295" w:left="-708"/>
        <w:jc w:val="both"/>
        <w:rPr>
          <w:rFonts w:ascii="標楷體" w:eastAsia="標楷體"/>
          <w:sz w:val="28"/>
          <w:szCs w:val="28"/>
        </w:rPr>
      </w:pPr>
      <w:r w:rsidRPr="00F92E26">
        <w:rPr>
          <w:rFonts w:ascii="標楷體" w:eastAsia="標楷體" w:hint="eastAsia"/>
          <w:sz w:val="28"/>
          <w:szCs w:val="28"/>
        </w:rPr>
        <w:t>廢液種類</w:t>
      </w:r>
      <w:r w:rsidRPr="00F92E26">
        <w:rPr>
          <w:rFonts w:ascii="標楷體" w:eastAsia="標楷體" w:hint="eastAsia"/>
          <w:szCs w:val="24"/>
        </w:rPr>
        <w:t>（粗框欄位由環安中心填寫）</w:t>
      </w:r>
    </w:p>
    <w:tbl>
      <w:tblPr>
        <w:tblW w:w="0" w:type="auto"/>
        <w:jc w:val="center"/>
        <w:tblInd w:w="-6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0"/>
      </w:tblGrid>
      <w:tr w:rsidR="00AD01ED" w:rsidTr="00FB6CF8">
        <w:trPr>
          <w:jc w:val="center"/>
        </w:trPr>
        <w:tc>
          <w:tcPr>
            <w:tcW w:w="9840" w:type="dxa"/>
          </w:tcPr>
          <w:p w:rsidR="00AD01ED" w:rsidRPr="00AD01ED" w:rsidRDefault="00AD01ED" w:rsidP="00FB6CF8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AD01ED">
              <w:rPr>
                <w:rFonts w:ascii="標楷體" w:eastAsia="標楷體" w:hint="eastAsia"/>
                <w:sz w:val="28"/>
                <w:szCs w:val="28"/>
              </w:rPr>
              <w:t>有機廢液類</w:t>
            </w:r>
            <w:r w:rsidRPr="00AD01ED">
              <w:rPr>
                <w:rFonts w:ascii="標楷體" w:eastAsia="標楷體" w:hint="eastAsia"/>
                <w:szCs w:val="24"/>
              </w:rPr>
              <w:t>(請貼</w:t>
            </w:r>
            <w:r w:rsidRPr="00F92E26">
              <w:rPr>
                <w:rFonts w:ascii="標楷體" w:eastAsia="標楷體" w:hint="eastAsia"/>
                <w:b/>
                <w:szCs w:val="24"/>
              </w:rPr>
              <w:t>易燃性事業廢棄物</w:t>
            </w:r>
            <w:r w:rsidRPr="00AD01ED">
              <w:rPr>
                <w:rFonts w:ascii="標楷體" w:eastAsia="標楷體" w:hint="eastAsia"/>
                <w:szCs w:val="24"/>
              </w:rPr>
              <w:t>標示圖)</w:t>
            </w:r>
          </w:p>
          <w:p w:rsidR="00AD01ED" w:rsidRPr="00AD01ED" w:rsidRDefault="00AD01ED" w:rsidP="00FB6CF8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AD01ED">
              <w:rPr>
                <w:rFonts w:ascii="標楷體" w:eastAsia="標楷體" w:hint="eastAsia"/>
                <w:sz w:val="28"/>
                <w:szCs w:val="28"/>
              </w:rPr>
              <w:t>□油脂類</w:t>
            </w:r>
            <w:r w:rsidRPr="00F92E26">
              <w:rPr>
                <w:rFonts w:ascii="標楷體" w:eastAsia="標楷體" w:hint="eastAsia"/>
                <w:szCs w:val="24"/>
              </w:rPr>
              <w:t>【</w:t>
            </w:r>
            <w:r w:rsidRPr="00F92E26">
              <w:rPr>
                <w:rFonts w:ascii="標楷體" w:eastAsia="標楷體" w:hint="eastAsia"/>
                <w:color w:val="000000"/>
                <w:szCs w:val="24"/>
              </w:rPr>
              <w:t>黏度應低於10</w:t>
            </w:r>
            <w:r w:rsidRPr="00F92E26">
              <w:rPr>
                <w:rFonts w:ascii="標楷體" w:eastAsia="標楷體"/>
                <w:color w:val="000000"/>
                <w:szCs w:val="24"/>
              </w:rPr>
              <w:t>,</w:t>
            </w:r>
            <w:r w:rsidRPr="00F92E26">
              <w:rPr>
                <w:rFonts w:ascii="標楷體" w:eastAsia="標楷體" w:hint="eastAsia"/>
                <w:color w:val="000000"/>
                <w:szCs w:val="24"/>
              </w:rPr>
              <w:t>000</w:t>
            </w:r>
            <w:r w:rsidRPr="00F92E26">
              <w:rPr>
                <w:rFonts w:ascii="標楷體" w:eastAsia="標楷體"/>
                <w:color w:val="000000"/>
                <w:szCs w:val="24"/>
              </w:rPr>
              <w:t>SSU</w:t>
            </w:r>
            <w:r w:rsidRPr="00F92E26">
              <w:rPr>
                <w:rFonts w:ascii="標楷體" w:eastAsia="標楷體" w:hint="eastAsia"/>
                <w:szCs w:val="24"/>
              </w:rPr>
              <w:t>】</w:t>
            </w:r>
          </w:p>
          <w:p w:rsidR="00AD01ED" w:rsidRPr="00AD01ED" w:rsidRDefault="00AD01ED" w:rsidP="00FB6CF8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AD01ED">
              <w:rPr>
                <w:rFonts w:ascii="標楷體" w:eastAsia="標楷體" w:hint="eastAsia"/>
                <w:sz w:val="28"/>
                <w:szCs w:val="28"/>
              </w:rPr>
              <w:t>□鹵素類有機溶劑類</w:t>
            </w:r>
            <w:r w:rsidRPr="00F92E26">
              <w:rPr>
                <w:rFonts w:ascii="標楷體" w:eastAsia="標楷體" w:hint="eastAsia"/>
                <w:szCs w:val="24"/>
              </w:rPr>
              <w:t>【重量百分比10﹪以下】</w:t>
            </w:r>
          </w:p>
          <w:p w:rsidR="00AD01ED" w:rsidRDefault="00AD01ED" w:rsidP="00FB6CF8">
            <w:pPr>
              <w:jc w:val="both"/>
              <w:rPr>
                <w:rFonts w:ascii="標楷體" w:eastAsia="標楷體"/>
                <w:sz w:val="32"/>
              </w:rPr>
            </w:pPr>
            <w:r w:rsidRPr="00AD01ED">
              <w:rPr>
                <w:rFonts w:ascii="標楷體" w:eastAsia="標楷體" w:hint="eastAsia"/>
                <w:sz w:val="28"/>
                <w:szCs w:val="28"/>
              </w:rPr>
              <w:t>□不含鹵素類有機溶劑類</w:t>
            </w:r>
            <w:r w:rsidRPr="00F92E26">
              <w:rPr>
                <w:rFonts w:ascii="標楷體" w:eastAsia="標楷體" w:hint="eastAsia"/>
                <w:szCs w:val="24"/>
              </w:rPr>
              <w:t>【重量百分比90﹪以上】</w:t>
            </w:r>
          </w:p>
        </w:tc>
      </w:tr>
      <w:tr w:rsidR="00AD01ED" w:rsidTr="00FB6CF8">
        <w:trPr>
          <w:jc w:val="center"/>
        </w:trPr>
        <w:tc>
          <w:tcPr>
            <w:tcW w:w="9840" w:type="dxa"/>
          </w:tcPr>
          <w:p w:rsidR="00AD01ED" w:rsidRDefault="00AD01ED" w:rsidP="00FB6CF8">
            <w:pPr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32"/>
              </w:rPr>
              <w:t>無機廢液類</w:t>
            </w:r>
            <w:r w:rsidRPr="00F92E26">
              <w:rPr>
                <w:rFonts w:ascii="標楷體" w:eastAsia="標楷體" w:hint="eastAsia"/>
                <w:szCs w:val="24"/>
              </w:rPr>
              <w:t>(除酸鹼性廢液貼</w:t>
            </w:r>
            <w:r w:rsidRPr="00F92E26">
              <w:rPr>
                <w:rFonts w:ascii="標楷體" w:eastAsia="標楷體" w:hint="eastAsia"/>
                <w:b/>
                <w:szCs w:val="24"/>
              </w:rPr>
              <w:t>腐蝕性事業廢棄物</w:t>
            </w:r>
            <w:r w:rsidRPr="00F92E26">
              <w:rPr>
                <w:rFonts w:ascii="標楷體" w:eastAsia="標楷體" w:hint="eastAsia"/>
                <w:szCs w:val="24"/>
              </w:rPr>
              <w:t>標示圖</w:t>
            </w:r>
            <w:r w:rsidRPr="00F92E26">
              <w:rPr>
                <w:rFonts w:ascii="標楷體" w:eastAsia="標楷體"/>
                <w:szCs w:val="24"/>
              </w:rPr>
              <w:t>,</w:t>
            </w:r>
            <w:r w:rsidRPr="00F92E26">
              <w:rPr>
                <w:rFonts w:ascii="標楷體" w:eastAsia="標楷體" w:hint="eastAsia"/>
                <w:szCs w:val="24"/>
              </w:rPr>
              <w:t>其餘請貼</w:t>
            </w:r>
            <w:r w:rsidRPr="00F92E26">
              <w:rPr>
                <w:rFonts w:ascii="標楷體" w:eastAsia="標楷體" w:hint="eastAsia"/>
                <w:b/>
                <w:szCs w:val="24"/>
              </w:rPr>
              <w:t>毒性事業廢棄物</w:t>
            </w:r>
            <w:r w:rsidRPr="00F92E26">
              <w:rPr>
                <w:rFonts w:ascii="標楷體" w:eastAsia="標楷體" w:hint="eastAsia"/>
                <w:szCs w:val="24"/>
              </w:rPr>
              <w:t>標示圖)</w:t>
            </w:r>
          </w:p>
          <w:p w:rsidR="00AD01ED" w:rsidRPr="00AD01ED" w:rsidRDefault="00F92E26" w:rsidP="00F92E26">
            <w:pPr>
              <w:ind w:left="2156" w:hangingChars="770" w:hanging="2156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AD01ED" w:rsidRPr="00F92E26">
              <w:rPr>
                <w:rFonts w:ascii="標楷體" w:eastAsia="標楷體" w:hint="eastAsia"/>
                <w:sz w:val="28"/>
                <w:szCs w:val="28"/>
              </w:rPr>
              <w:t>含重金屬廢液</w:t>
            </w:r>
            <w:r w:rsidR="00AD01ED" w:rsidRPr="00F92E26">
              <w:rPr>
                <w:rFonts w:ascii="標楷體" w:eastAsia="標楷體" w:hint="eastAsia"/>
                <w:szCs w:val="24"/>
              </w:rPr>
              <w:t>【鋅（150</w:t>
            </w:r>
            <w:r w:rsidR="00AD01ED" w:rsidRPr="00F92E26">
              <w:rPr>
                <w:rFonts w:ascii="標楷體" w:eastAsia="標楷體"/>
                <w:szCs w:val="24"/>
              </w:rPr>
              <w:t>ppm</w:t>
            </w:r>
            <w:r w:rsidR="00AD01ED" w:rsidRPr="00F92E26">
              <w:rPr>
                <w:rFonts w:ascii="標楷體" w:eastAsia="標楷體" w:hint="eastAsia"/>
                <w:szCs w:val="24"/>
              </w:rPr>
              <w:t>）、鐵（2500</w:t>
            </w:r>
            <w:r w:rsidR="00AD01ED" w:rsidRPr="00F92E26">
              <w:rPr>
                <w:rFonts w:ascii="標楷體" w:eastAsia="標楷體"/>
                <w:szCs w:val="24"/>
              </w:rPr>
              <w:t>ppm</w:t>
            </w:r>
            <w:r w:rsidR="00AD01ED" w:rsidRPr="00F92E26">
              <w:rPr>
                <w:rFonts w:ascii="標楷體" w:eastAsia="標楷體" w:hint="eastAsia"/>
                <w:szCs w:val="24"/>
              </w:rPr>
              <w:t>）、銀（2000</w:t>
            </w:r>
            <w:r w:rsidR="00AD01ED" w:rsidRPr="00F92E26">
              <w:rPr>
                <w:rFonts w:ascii="標楷體" w:eastAsia="標楷體"/>
                <w:szCs w:val="24"/>
              </w:rPr>
              <w:t>ppm</w:t>
            </w:r>
            <w:r w:rsidR="00AD01ED" w:rsidRPr="00F92E26">
              <w:rPr>
                <w:rFonts w:ascii="標楷體" w:eastAsia="標楷體" w:hint="eastAsia"/>
                <w:szCs w:val="24"/>
              </w:rPr>
              <w:t>）、錳（1000</w:t>
            </w:r>
            <w:r w:rsidR="00AD01ED" w:rsidRPr="00F92E26">
              <w:rPr>
                <w:rFonts w:ascii="標楷體" w:eastAsia="標楷體"/>
                <w:szCs w:val="24"/>
              </w:rPr>
              <w:t>ppm</w:t>
            </w:r>
            <w:r w:rsidR="00AD01ED" w:rsidRPr="00F92E26">
              <w:rPr>
                <w:rFonts w:ascii="標楷體" w:eastAsia="標楷體" w:hint="eastAsia"/>
                <w:szCs w:val="24"/>
              </w:rPr>
              <w:t>）、鎘（5</w:t>
            </w:r>
            <w:r w:rsidR="00AD01ED" w:rsidRPr="00F92E26">
              <w:rPr>
                <w:rFonts w:ascii="標楷體" w:eastAsia="標楷體"/>
                <w:szCs w:val="24"/>
              </w:rPr>
              <w:t>ppm</w:t>
            </w:r>
            <w:r w:rsidR="00AD01ED" w:rsidRPr="00F92E26">
              <w:rPr>
                <w:rFonts w:ascii="標楷體" w:eastAsia="標楷體" w:hint="eastAsia"/>
                <w:szCs w:val="24"/>
              </w:rPr>
              <w:t>）、鉛（30</w:t>
            </w:r>
            <w:r w:rsidR="00AD01ED" w:rsidRPr="00F92E26">
              <w:rPr>
                <w:rFonts w:ascii="標楷體" w:eastAsia="標楷體"/>
                <w:szCs w:val="24"/>
              </w:rPr>
              <w:t>ppm</w:t>
            </w:r>
            <w:r w:rsidR="00AD01ED" w:rsidRPr="00F92E26">
              <w:rPr>
                <w:rFonts w:ascii="標楷體" w:eastAsia="標楷體" w:hint="eastAsia"/>
                <w:szCs w:val="24"/>
              </w:rPr>
              <w:t>）、銅（800</w:t>
            </w:r>
            <w:r w:rsidR="00AD01ED" w:rsidRPr="00F92E26">
              <w:rPr>
                <w:rFonts w:ascii="標楷體" w:eastAsia="標楷體"/>
                <w:szCs w:val="24"/>
              </w:rPr>
              <w:t>ppm</w:t>
            </w:r>
            <w:r w:rsidR="00AD01ED" w:rsidRPr="00F92E26">
              <w:rPr>
                <w:rFonts w:ascii="標楷體" w:eastAsia="標楷體" w:hint="eastAsia"/>
                <w:szCs w:val="24"/>
              </w:rPr>
              <w:t>）】</w:t>
            </w:r>
          </w:p>
          <w:p w:rsidR="00AD01ED" w:rsidRDefault="00F92E26" w:rsidP="00FB6CF8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AD01ED" w:rsidRPr="00F92E26">
              <w:rPr>
                <w:rFonts w:ascii="標楷體" w:eastAsia="標楷體" w:hint="eastAsia"/>
                <w:sz w:val="28"/>
                <w:szCs w:val="28"/>
              </w:rPr>
              <w:t>含氰廢液</w:t>
            </w:r>
            <w:r w:rsidR="00AD01ED" w:rsidRPr="00F92E26">
              <w:rPr>
                <w:rFonts w:ascii="標楷體" w:eastAsia="標楷體" w:hint="eastAsia"/>
                <w:szCs w:val="24"/>
              </w:rPr>
              <w:t>【氰化物濃度低於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00"/>
                <w:attr w:name="UnitName" w:val="m"/>
              </w:smartTagPr>
              <w:r w:rsidR="00AD01ED" w:rsidRPr="00F92E26">
                <w:rPr>
                  <w:rFonts w:ascii="標楷體" w:eastAsia="標楷體" w:hint="eastAsia"/>
                  <w:szCs w:val="24"/>
                </w:rPr>
                <w:t>600</w:t>
              </w:r>
              <w:r w:rsidR="00AD01ED" w:rsidRPr="00F92E26">
                <w:rPr>
                  <w:rFonts w:ascii="標楷體" w:eastAsia="標楷體"/>
                  <w:szCs w:val="24"/>
                </w:rPr>
                <w:t>m</w:t>
              </w:r>
            </w:smartTag>
            <w:r w:rsidR="00AD01ED" w:rsidRPr="00F92E26">
              <w:rPr>
                <w:rFonts w:ascii="標楷體" w:eastAsia="標楷體"/>
                <w:szCs w:val="24"/>
              </w:rPr>
              <w:t>g/L</w:t>
            </w:r>
            <w:r w:rsidR="00AD01ED" w:rsidRPr="00F92E26">
              <w:rPr>
                <w:rFonts w:ascii="標楷體" w:eastAsia="標楷體" w:hint="eastAsia"/>
                <w:szCs w:val="24"/>
              </w:rPr>
              <w:t>（毫克</w:t>
            </w:r>
            <w:r w:rsidR="00AD01ED" w:rsidRPr="00F92E26">
              <w:rPr>
                <w:rFonts w:ascii="標楷體" w:eastAsia="標楷體"/>
                <w:szCs w:val="24"/>
              </w:rPr>
              <w:t>/</w:t>
            </w:r>
            <w:r w:rsidR="00AD01ED" w:rsidRPr="00F92E26">
              <w:rPr>
                <w:rFonts w:ascii="標楷體" w:eastAsia="標楷體" w:hint="eastAsia"/>
                <w:szCs w:val="24"/>
              </w:rPr>
              <w:t>升）】</w:t>
            </w:r>
          </w:p>
          <w:p w:rsidR="00AD01ED" w:rsidRDefault="00F92E26" w:rsidP="00FB6CF8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AD01ED" w:rsidRPr="00F92E26">
              <w:rPr>
                <w:rFonts w:ascii="標楷體" w:eastAsia="標楷體" w:hint="eastAsia"/>
                <w:sz w:val="28"/>
                <w:szCs w:val="28"/>
              </w:rPr>
              <w:t>含汞廢液</w:t>
            </w:r>
            <w:r w:rsidR="00AD01ED" w:rsidRPr="00F92E26">
              <w:rPr>
                <w:rFonts w:ascii="標楷體" w:eastAsia="標楷體" w:hint="eastAsia"/>
                <w:szCs w:val="24"/>
              </w:rPr>
              <w:t>【汞離子濃度低於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m"/>
              </w:smartTagPr>
              <w:r w:rsidR="00AD01ED" w:rsidRPr="00F92E26">
                <w:rPr>
                  <w:rFonts w:ascii="標楷體" w:eastAsia="標楷體" w:hint="eastAsia"/>
                  <w:szCs w:val="24"/>
                </w:rPr>
                <w:t>3000</w:t>
              </w:r>
              <w:r w:rsidR="00AD01ED" w:rsidRPr="00F92E26">
                <w:rPr>
                  <w:rFonts w:ascii="標楷體" w:eastAsia="標楷體"/>
                  <w:szCs w:val="24"/>
                </w:rPr>
                <w:t>m</w:t>
              </w:r>
            </w:smartTag>
            <w:r w:rsidR="00AD01ED" w:rsidRPr="00F92E26">
              <w:rPr>
                <w:rFonts w:ascii="標楷體" w:eastAsia="標楷體"/>
                <w:szCs w:val="24"/>
              </w:rPr>
              <w:t>g/L</w:t>
            </w:r>
            <w:r w:rsidR="00AD01ED" w:rsidRPr="00F92E26">
              <w:rPr>
                <w:rFonts w:ascii="標楷體" w:eastAsia="標楷體" w:hint="eastAsia"/>
                <w:szCs w:val="24"/>
              </w:rPr>
              <w:t>（毫克</w:t>
            </w:r>
            <w:r w:rsidR="00AD01ED" w:rsidRPr="00F92E26">
              <w:rPr>
                <w:rFonts w:ascii="標楷體" w:eastAsia="標楷體"/>
                <w:szCs w:val="24"/>
              </w:rPr>
              <w:t>/</w:t>
            </w:r>
            <w:r w:rsidR="00AD01ED" w:rsidRPr="00F92E26">
              <w:rPr>
                <w:rFonts w:ascii="標楷體" w:eastAsia="標楷體" w:hint="eastAsia"/>
                <w:szCs w:val="24"/>
              </w:rPr>
              <w:t>升）】</w:t>
            </w:r>
          </w:p>
          <w:p w:rsidR="00AD01ED" w:rsidRDefault="00F92E26" w:rsidP="00FB6CF8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AD01ED" w:rsidRPr="00F92E26">
              <w:rPr>
                <w:rFonts w:ascii="標楷體" w:eastAsia="標楷體" w:hint="eastAsia"/>
                <w:sz w:val="28"/>
                <w:szCs w:val="28"/>
              </w:rPr>
              <w:t>含氟廢液</w:t>
            </w:r>
            <w:r w:rsidR="00AD01ED" w:rsidRPr="00F92E26">
              <w:rPr>
                <w:rFonts w:ascii="標楷體" w:eastAsia="標楷體" w:hint="eastAsia"/>
                <w:szCs w:val="24"/>
              </w:rPr>
              <w:t>(含氟酸或氟化合物)</w:t>
            </w:r>
          </w:p>
          <w:p w:rsidR="00AD01ED" w:rsidRDefault="00F92E26" w:rsidP="00FB6CF8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AD01ED" w:rsidRPr="00F92E26">
              <w:rPr>
                <w:rFonts w:ascii="標楷體" w:eastAsia="標楷體" w:hint="eastAsia"/>
                <w:sz w:val="28"/>
                <w:szCs w:val="28"/>
              </w:rPr>
              <w:t>酸鹼性廢液</w:t>
            </w:r>
            <w:r w:rsidR="00AD01ED" w:rsidRPr="00F92E26">
              <w:rPr>
                <w:rFonts w:ascii="標楷體" w:eastAsia="標楷體" w:hint="eastAsia"/>
                <w:szCs w:val="24"/>
              </w:rPr>
              <w:t>【酸液(</w:t>
            </w:r>
            <w:r w:rsidR="00AD01ED" w:rsidRPr="00F92E26">
              <w:rPr>
                <w:rFonts w:ascii="標楷體" w:eastAsia="標楷體"/>
                <w:szCs w:val="24"/>
              </w:rPr>
              <w:t>pH</w:t>
            </w:r>
            <w:r w:rsidR="00AD01ED" w:rsidRPr="00F92E26">
              <w:rPr>
                <w:rFonts w:ascii="標楷體" w:eastAsia="標楷體" w:hint="eastAsia"/>
                <w:szCs w:val="24"/>
              </w:rPr>
              <w:t>＜</w:t>
            </w:r>
            <w:r w:rsidR="00AD01ED" w:rsidRPr="00F92E26">
              <w:rPr>
                <w:rFonts w:ascii="標楷體" w:eastAsia="標楷體"/>
                <w:szCs w:val="24"/>
              </w:rPr>
              <w:t>7)</w:t>
            </w:r>
            <w:r w:rsidR="00AD01ED" w:rsidRPr="00F92E26">
              <w:rPr>
                <w:rFonts w:ascii="標楷體" w:eastAsia="標楷體" w:hint="eastAsia"/>
                <w:szCs w:val="24"/>
              </w:rPr>
              <w:t>；鹼液(</w:t>
            </w:r>
            <w:r w:rsidR="00AD01ED" w:rsidRPr="00F92E26">
              <w:rPr>
                <w:rFonts w:ascii="標楷體" w:eastAsia="標楷體"/>
                <w:szCs w:val="24"/>
              </w:rPr>
              <w:t>pH</w:t>
            </w:r>
            <w:r w:rsidR="00AD01ED" w:rsidRPr="00F92E26">
              <w:rPr>
                <w:rFonts w:ascii="標楷體" w:eastAsia="標楷體" w:hint="eastAsia"/>
                <w:szCs w:val="24"/>
              </w:rPr>
              <w:t>＞</w:t>
            </w:r>
            <w:r w:rsidR="00AD01ED" w:rsidRPr="00F92E26">
              <w:rPr>
                <w:rFonts w:ascii="標楷體" w:eastAsia="標楷體"/>
                <w:szCs w:val="24"/>
              </w:rPr>
              <w:t>7)</w:t>
            </w:r>
            <w:r w:rsidR="00AD01ED" w:rsidRPr="00F92E26">
              <w:rPr>
                <w:rFonts w:ascii="標楷體" w:eastAsia="標楷體" w:hint="eastAsia"/>
                <w:szCs w:val="24"/>
              </w:rPr>
              <w:t>】</w:t>
            </w:r>
          </w:p>
          <w:p w:rsidR="00AD01ED" w:rsidRDefault="00F92E26" w:rsidP="00FB6CF8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AD01ED" w:rsidRPr="00F92E26">
              <w:rPr>
                <w:rFonts w:ascii="標楷體" w:eastAsia="標楷體" w:hint="eastAsia"/>
                <w:sz w:val="28"/>
                <w:szCs w:val="28"/>
              </w:rPr>
              <w:t>含六價鉻化合物</w:t>
            </w:r>
            <w:r w:rsidR="00AD01ED" w:rsidRPr="00F92E26">
              <w:rPr>
                <w:rFonts w:ascii="標楷體" w:eastAsia="標楷體" w:hint="eastAsia"/>
                <w:szCs w:val="24"/>
              </w:rPr>
              <w:t>【六價鉻應低於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m"/>
              </w:smartTagPr>
              <w:r w:rsidR="00AD01ED" w:rsidRPr="00F92E26">
                <w:rPr>
                  <w:rFonts w:ascii="標楷體" w:eastAsia="標楷體" w:hint="eastAsia"/>
                  <w:szCs w:val="24"/>
                </w:rPr>
                <w:t>200</w:t>
              </w:r>
              <w:r w:rsidR="00AD01ED" w:rsidRPr="00F92E26">
                <w:rPr>
                  <w:rFonts w:ascii="標楷體" w:eastAsia="標楷體"/>
                  <w:szCs w:val="24"/>
                </w:rPr>
                <w:t>m</w:t>
              </w:r>
            </w:smartTag>
            <w:r w:rsidR="00AD01ED" w:rsidRPr="00F92E26">
              <w:rPr>
                <w:rFonts w:ascii="標楷體" w:eastAsia="標楷體"/>
                <w:szCs w:val="24"/>
              </w:rPr>
              <w:t>g/L</w:t>
            </w:r>
            <w:r w:rsidR="00AD01ED" w:rsidRPr="00F92E26">
              <w:rPr>
                <w:rFonts w:ascii="標楷體" w:eastAsia="標楷體" w:hint="eastAsia"/>
                <w:szCs w:val="24"/>
              </w:rPr>
              <w:t>，總鉻應低於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m"/>
              </w:smartTagPr>
              <w:r w:rsidR="00AD01ED" w:rsidRPr="00F92E26">
                <w:rPr>
                  <w:rFonts w:ascii="標楷體" w:eastAsia="標楷體" w:hint="eastAsia"/>
                  <w:szCs w:val="24"/>
                </w:rPr>
                <w:t>300</w:t>
              </w:r>
              <w:r w:rsidR="00AD01ED" w:rsidRPr="00F92E26">
                <w:rPr>
                  <w:rFonts w:ascii="標楷體" w:eastAsia="標楷體"/>
                  <w:szCs w:val="24"/>
                </w:rPr>
                <w:t>m</w:t>
              </w:r>
            </w:smartTag>
            <w:r w:rsidR="00AD01ED" w:rsidRPr="00F92E26">
              <w:rPr>
                <w:rFonts w:ascii="標楷體" w:eastAsia="標楷體"/>
                <w:szCs w:val="24"/>
              </w:rPr>
              <w:t>g/L</w:t>
            </w:r>
            <w:r w:rsidR="00AD01ED" w:rsidRPr="00F92E26">
              <w:rPr>
                <w:rFonts w:ascii="標楷體" w:eastAsia="標楷體" w:hint="eastAsia"/>
                <w:szCs w:val="24"/>
              </w:rPr>
              <w:t>（毫克</w:t>
            </w:r>
            <w:r w:rsidR="00AD01ED" w:rsidRPr="00F92E26">
              <w:rPr>
                <w:rFonts w:ascii="標楷體" w:eastAsia="標楷體"/>
                <w:szCs w:val="24"/>
              </w:rPr>
              <w:t>/</w:t>
            </w:r>
            <w:r w:rsidR="00AD01ED" w:rsidRPr="00F92E26">
              <w:rPr>
                <w:rFonts w:ascii="標楷體" w:eastAsia="標楷體" w:hint="eastAsia"/>
                <w:szCs w:val="24"/>
              </w:rPr>
              <w:t>升）】</w:t>
            </w:r>
          </w:p>
        </w:tc>
      </w:tr>
      <w:tr w:rsidR="00AD01ED" w:rsidTr="00FB6CF8">
        <w:trPr>
          <w:jc w:val="center"/>
        </w:trPr>
        <w:tc>
          <w:tcPr>
            <w:tcW w:w="9840" w:type="dxa"/>
          </w:tcPr>
          <w:p w:rsidR="00AD01ED" w:rsidRPr="00F92E26" w:rsidRDefault="00F92E26" w:rsidP="00FB6CF8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AD01ED" w:rsidRPr="00F92E26">
              <w:rPr>
                <w:rFonts w:ascii="標楷體" w:eastAsia="標楷體" w:hint="eastAsia"/>
                <w:sz w:val="28"/>
                <w:szCs w:val="28"/>
              </w:rPr>
              <w:t>顯影液、定影液</w:t>
            </w:r>
          </w:p>
        </w:tc>
      </w:tr>
      <w:tr w:rsidR="00AD01ED" w:rsidTr="00FB6CF8">
        <w:trPr>
          <w:jc w:val="center"/>
        </w:trPr>
        <w:tc>
          <w:tcPr>
            <w:tcW w:w="9840" w:type="dxa"/>
          </w:tcPr>
          <w:p w:rsidR="00AD01ED" w:rsidRPr="00F92E26" w:rsidRDefault="00AD01ED" w:rsidP="00FB6CF8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F92E26">
              <w:rPr>
                <w:rFonts w:ascii="標楷體" w:eastAsia="標楷體" w:hint="eastAsia"/>
                <w:sz w:val="28"/>
                <w:szCs w:val="28"/>
              </w:rPr>
              <w:t>其他：</w:t>
            </w:r>
          </w:p>
        </w:tc>
      </w:tr>
    </w:tbl>
    <w:p w:rsidR="00AD01ED" w:rsidRPr="00F92E26" w:rsidRDefault="00AD01ED" w:rsidP="00F92E26">
      <w:pPr>
        <w:ind w:leftChars="-295" w:left="-708"/>
        <w:jc w:val="both"/>
        <w:rPr>
          <w:rFonts w:ascii="標楷體" w:eastAsia="標楷體"/>
          <w:sz w:val="28"/>
          <w:szCs w:val="28"/>
        </w:rPr>
      </w:pPr>
      <w:r w:rsidRPr="00F92E26">
        <w:rPr>
          <w:rFonts w:ascii="標楷體" w:eastAsia="標楷體" w:hint="eastAsia"/>
          <w:sz w:val="28"/>
          <w:szCs w:val="28"/>
        </w:rPr>
        <w:t>主要成份（請寫中英文，並書寫工整。）</w:t>
      </w:r>
    </w:p>
    <w:tbl>
      <w:tblPr>
        <w:tblW w:w="9840" w:type="dxa"/>
        <w:jc w:val="center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9000"/>
      </w:tblGrid>
      <w:tr w:rsidR="00AD01ED" w:rsidRPr="00F92E26" w:rsidTr="00F92E26">
        <w:trPr>
          <w:trHeight w:val="520"/>
          <w:jc w:val="center"/>
        </w:trPr>
        <w:tc>
          <w:tcPr>
            <w:tcW w:w="840" w:type="dxa"/>
          </w:tcPr>
          <w:p w:rsidR="00AD01ED" w:rsidRPr="00F92E26" w:rsidRDefault="00AD01ED" w:rsidP="00FB6CF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92E26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</w:tc>
        <w:tc>
          <w:tcPr>
            <w:tcW w:w="9000" w:type="dxa"/>
          </w:tcPr>
          <w:p w:rsidR="00AD01ED" w:rsidRPr="00F92E26" w:rsidRDefault="00AD01ED" w:rsidP="00FB6CF8">
            <w:pPr>
              <w:jc w:val="right"/>
              <w:rPr>
                <w:rFonts w:ascii="標楷體" w:eastAsia="標楷體"/>
                <w:sz w:val="28"/>
                <w:szCs w:val="28"/>
              </w:rPr>
            </w:pPr>
            <w:r w:rsidRPr="00F92E26">
              <w:rPr>
                <w:rFonts w:ascii="標楷體" w:eastAsia="標楷體" w:hint="eastAsia"/>
                <w:sz w:val="28"/>
                <w:szCs w:val="28"/>
              </w:rPr>
              <w:t xml:space="preserve">                   </w:t>
            </w:r>
            <w:r w:rsidRPr="00F92E26">
              <w:rPr>
                <w:rFonts w:ascii="標楷體" w:eastAsia="標楷體"/>
                <w:sz w:val="28"/>
                <w:szCs w:val="28"/>
              </w:rPr>
              <w:t xml:space="preserve">             </w:t>
            </w:r>
            <w:r w:rsidRPr="00F92E26">
              <w:rPr>
                <w:rFonts w:ascii="標楷體" w:eastAsia="標楷體" w:hint="eastAsia"/>
                <w:sz w:val="28"/>
                <w:szCs w:val="28"/>
              </w:rPr>
              <w:t xml:space="preserve">，   </w:t>
            </w:r>
            <w:r w:rsidRPr="00F92E26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F92E26">
              <w:rPr>
                <w:rFonts w:ascii="標楷體" w:eastAsia="標楷體" w:hint="eastAsia"/>
                <w:sz w:val="28"/>
                <w:szCs w:val="28"/>
              </w:rPr>
              <w:t xml:space="preserve">       %</w:t>
            </w:r>
          </w:p>
        </w:tc>
      </w:tr>
      <w:tr w:rsidR="00AD01ED" w:rsidRPr="00F92E26" w:rsidTr="00F92E26">
        <w:trPr>
          <w:trHeight w:val="520"/>
          <w:jc w:val="center"/>
        </w:trPr>
        <w:tc>
          <w:tcPr>
            <w:tcW w:w="840" w:type="dxa"/>
          </w:tcPr>
          <w:p w:rsidR="00AD01ED" w:rsidRPr="00F92E26" w:rsidRDefault="00AD01ED" w:rsidP="00FB6CF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92E26">
              <w:rPr>
                <w:rFonts w:ascii="標楷體" w:eastAsia="標楷體" w:hint="eastAsia"/>
                <w:sz w:val="28"/>
                <w:szCs w:val="28"/>
              </w:rPr>
              <w:t>2</w:t>
            </w:r>
          </w:p>
        </w:tc>
        <w:tc>
          <w:tcPr>
            <w:tcW w:w="9000" w:type="dxa"/>
          </w:tcPr>
          <w:p w:rsidR="00AD01ED" w:rsidRPr="00F92E26" w:rsidRDefault="00AD01ED" w:rsidP="00FB6CF8">
            <w:pPr>
              <w:jc w:val="right"/>
              <w:rPr>
                <w:rFonts w:ascii="標楷體" w:eastAsia="標楷體"/>
                <w:sz w:val="28"/>
                <w:szCs w:val="28"/>
              </w:rPr>
            </w:pPr>
            <w:r w:rsidRPr="00F92E26">
              <w:rPr>
                <w:rFonts w:ascii="標楷體" w:eastAsia="標楷體" w:hint="eastAsia"/>
                <w:sz w:val="28"/>
                <w:szCs w:val="28"/>
              </w:rPr>
              <w:t xml:space="preserve">             </w:t>
            </w:r>
            <w:r w:rsidRPr="00F92E26">
              <w:rPr>
                <w:rFonts w:ascii="標楷體" w:eastAsia="標楷體"/>
                <w:sz w:val="28"/>
                <w:szCs w:val="28"/>
              </w:rPr>
              <w:t xml:space="preserve">                </w:t>
            </w:r>
            <w:r w:rsidRPr="00F92E26">
              <w:rPr>
                <w:rFonts w:ascii="標楷體" w:eastAsia="標楷體" w:hint="eastAsia"/>
                <w:sz w:val="28"/>
                <w:szCs w:val="28"/>
              </w:rPr>
              <w:t xml:space="preserve">，         </w:t>
            </w:r>
            <w:r w:rsidRPr="00F92E26">
              <w:rPr>
                <w:rFonts w:ascii="標楷體" w:eastAsia="標楷體"/>
                <w:sz w:val="28"/>
                <w:szCs w:val="28"/>
              </w:rPr>
              <w:t xml:space="preserve">  %  </w:t>
            </w:r>
            <w:r w:rsidRPr="00F92E26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</w:tc>
      </w:tr>
      <w:tr w:rsidR="00AD01ED" w:rsidRPr="00F92E26" w:rsidTr="00F92E26">
        <w:trPr>
          <w:trHeight w:val="520"/>
          <w:jc w:val="center"/>
        </w:trPr>
        <w:tc>
          <w:tcPr>
            <w:tcW w:w="840" w:type="dxa"/>
          </w:tcPr>
          <w:p w:rsidR="00AD01ED" w:rsidRPr="00F92E26" w:rsidRDefault="00AD01ED" w:rsidP="00FB6CF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92E26">
              <w:rPr>
                <w:rFonts w:ascii="標楷體" w:eastAsia="標楷體" w:hint="eastAsia"/>
                <w:sz w:val="28"/>
                <w:szCs w:val="28"/>
              </w:rPr>
              <w:t>3</w:t>
            </w:r>
          </w:p>
        </w:tc>
        <w:tc>
          <w:tcPr>
            <w:tcW w:w="9000" w:type="dxa"/>
          </w:tcPr>
          <w:p w:rsidR="00AD01ED" w:rsidRPr="00F92E26" w:rsidRDefault="00AD01ED" w:rsidP="00FB6CF8">
            <w:pPr>
              <w:jc w:val="right"/>
              <w:rPr>
                <w:rFonts w:ascii="標楷體" w:eastAsia="標楷體"/>
                <w:sz w:val="28"/>
                <w:szCs w:val="28"/>
              </w:rPr>
            </w:pPr>
            <w:r w:rsidRPr="00F92E26">
              <w:rPr>
                <w:rFonts w:ascii="標楷體" w:eastAsia="標楷體" w:hint="eastAsia"/>
                <w:sz w:val="28"/>
                <w:szCs w:val="28"/>
              </w:rPr>
              <w:t xml:space="preserve">                             ，           </w:t>
            </w:r>
            <w:r w:rsidRPr="00F92E26">
              <w:rPr>
                <w:rFonts w:ascii="標楷體" w:eastAsia="標楷體"/>
                <w:sz w:val="28"/>
                <w:szCs w:val="28"/>
              </w:rPr>
              <w:t>%</w:t>
            </w:r>
            <w:r w:rsidRPr="00F92E26">
              <w:rPr>
                <w:rFonts w:ascii="標楷體" w:eastAsia="標楷體" w:hint="eastAsia"/>
                <w:sz w:val="28"/>
                <w:szCs w:val="28"/>
              </w:rPr>
              <w:t xml:space="preserve">         </w:t>
            </w:r>
          </w:p>
        </w:tc>
      </w:tr>
      <w:tr w:rsidR="00AD01ED" w:rsidRPr="00F92E26" w:rsidTr="00F92E26">
        <w:trPr>
          <w:trHeight w:val="520"/>
          <w:jc w:val="center"/>
        </w:trPr>
        <w:tc>
          <w:tcPr>
            <w:tcW w:w="840" w:type="dxa"/>
          </w:tcPr>
          <w:p w:rsidR="00AD01ED" w:rsidRPr="00F92E26" w:rsidRDefault="00AD01ED" w:rsidP="00FB6CF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92E26">
              <w:rPr>
                <w:rFonts w:ascii="標楷體" w:eastAsia="標楷體" w:hint="eastAsia"/>
                <w:sz w:val="28"/>
                <w:szCs w:val="28"/>
              </w:rPr>
              <w:t>4</w:t>
            </w:r>
          </w:p>
        </w:tc>
        <w:tc>
          <w:tcPr>
            <w:tcW w:w="9000" w:type="dxa"/>
          </w:tcPr>
          <w:p w:rsidR="00AD01ED" w:rsidRPr="00F92E26" w:rsidRDefault="00AD01ED" w:rsidP="00FB6CF8">
            <w:pPr>
              <w:jc w:val="right"/>
              <w:rPr>
                <w:rFonts w:ascii="標楷體" w:eastAsia="標楷體"/>
                <w:sz w:val="28"/>
                <w:szCs w:val="28"/>
              </w:rPr>
            </w:pPr>
            <w:r w:rsidRPr="00F92E26">
              <w:rPr>
                <w:rFonts w:ascii="標楷體" w:eastAsia="標楷體" w:hint="eastAsia"/>
                <w:sz w:val="28"/>
                <w:szCs w:val="28"/>
              </w:rPr>
              <w:t xml:space="preserve">                     </w:t>
            </w:r>
            <w:r w:rsidRPr="00F92E26">
              <w:rPr>
                <w:rFonts w:ascii="標楷體" w:eastAsia="標楷體"/>
                <w:sz w:val="28"/>
                <w:szCs w:val="28"/>
              </w:rPr>
              <w:t xml:space="preserve">        </w:t>
            </w:r>
            <w:r w:rsidRPr="00F92E26">
              <w:rPr>
                <w:rFonts w:ascii="標楷體" w:eastAsia="標楷體" w:hint="eastAsia"/>
                <w:sz w:val="28"/>
                <w:szCs w:val="28"/>
              </w:rPr>
              <w:t xml:space="preserve">，           </w:t>
            </w:r>
            <w:r w:rsidRPr="00F92E26">
              <w:rPr>
                <w:rFonts w:ascii="標楷體" w:eastAsia="標楷體"/>
                <w:sz w:val="28"/>
                <w:szCs w:val="28"/>
              </w:rPr>
              <w:t>%</w:t>
            </w:r>
            <w:r w:rsidRPr="00F92E26">
              <w:rPr>
                <w:rFonts w:ascii="標楷體" w:eastAsia="標楷體" w:hint="eastAsia"/>
                <w:sz w:val="28"/>
                <w:szCs w:val="28"/>
              </w:rPr>
              <w:t xml:space="preserve">       </w:t>
            </w:r>
          </w:p>
        </w:tc>
      </w:tr>
      <w:tr w:rsidR="00AD01ED" w:rsidRPr="00F92E26" w:rsidTr="00F92E26">
        <w:trPr>
          <w:trHeight w:val="520"/>
          <w:jc w:val="center"/>
        </w:trPr>
        <w:tc>
          <w:tcPr>
            <w:tcW w:w="840" w:type="dxa"/>
          </w:tcPr>
          <w:p w:rsidR="00AD01ED" w:rsidRPr="00F92E26" w:rsidRDefault="00AD01ED" w:rsidP="00FB6CF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92E26">
              <w:rPr>
                <w:rFonts w:ascii="標楷體" w:eastAsia="標楷體" w:hint="eastAsia"/>
                <w:sz w:val="28"/>
                <w:szCs w:val="28"/>
              </w:rPr>
              <w:t>5</w:t>
            </w:r>
          </w:p>
        </w:tc>
        <w:tc>
          <w:tcPr>
            <w:tcW w:w="9000" w:type="dxa"/>
          </w:tcPr>
          <w:p w:rsidR="00AD01ED" w:rsidRPr="00F92E26" w:rsidRDefault="00AD01ED" w:rsidP="00FB6CF8">
            <w:pPr>
              <w:jc w:val="right"/>
              <w:rPr>
                <w:rFonts w:ascii="標楷體" w:eastAsia="標楷體"/>
                <w:sz w:val="28"/>
                <w:szCs w:val="28"/>
              </w:rPr>
            </w:pPr>
            <w:r w:rsidRPr="00F92E26">
              <w:rPr>
                <w:rFonts w:ascii="標楷體" w:eastAsia="標楷體" w:hint="eastAsia"/>
                <w:sz w:val="28"/>
                <w:szCs w:val="28"/>
              </w:rPr>
              <w:t xml:space="preserve">                    </w:t>
            </w:r>
            <w:r w:rsidRPr="00F92E26">
              <w:rPr>
                <w:rFonts w:ascii="標楷體" w:eastAsia="標楷體"/>
                <w:sz w:val="28"/>
                <w:szCs w:val="28"/>
              </w:rPr>
              <w:t xml:space="preserve">         </w:t>
            </w:r>
            <w:r w:rsidRPr="00F92E26">
              <w:rPr>
                <w:rFonts w:ascii="標楷體" w:eastAsia="標楷體" w:hint="eastAsia"/>
                <w:sz w:val="28"/>
                <w:szCs w:val="28"/>
              </w:rPr>
              <w:t>，           %</w:t>
            </w:r>
          </w:p>
        </w:tc>
      </w:tr>
      <w:tr w:rsidR="00AD01ED" w:rsidRPr="00F92E26" w:rsidTr="00F92E26">
        <w:trPr>
          <w:trHeight w:val="520"/>
          <w:jc w:val="center"/>
        </w:trPr>
        <w:tc>
          <w:tcPr>
            <w:tcW w:w="840" w:type="dxa"/>
          </w:tcPr>
          <w:p w:rsidR="00AD01ED" w:rsidRPr="00F92E26" w:rsidRDefault="00AD01ED" w:rsidP="00FB6CF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F92E26">
              <w:rPr>
                <w:rFonts w:ascii="標楷體"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9000" w:type="dxa"/>
          </w:tcPr>
          <w:p w:rsidR="00AD01ED" w:rsidRPr="00F92E26" w:rsidRDefault="00AD01ED" w:rsidP="00FB6CF8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F92E26">
              <w:rPr>
                <w:rFonts w:ascii="標楷體" w:eastAsia="標楷體" w:hint="eastAsia"/>
                <w:sz w:val="28"/>
                <w:szCs w:val="28"/>
              </w:rPr>
              <w:t xml:space="preserve">                                  </w:t>
            </w:r>
            <w:r w:rsidRPr="00F92E26">
              <w:rPr>
                <w:rFonts w:ascii="標楷體" w:eastAsia="標楷體"/>
                <w:sz w:val="28"/>
                <w:szCs w:val="28"/>
              </w:rPr>
              <w:t xml:space="preserve">       </w:t>
            </w:r>
          </w:p>
        </w:tc>
      </w:tr>
    </w:tbl>
    <w:p w:rsidR="00AD01ED" w:rsidRDefault="00AD01ED" w:rsidP="00AD01ED">
      <w:pPr>
        <w:ind w:left="-1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※廢液請確實分類收集、標示及註明廢液成份與濃度。</w:t>
      </w:r>
    </w:p>
    <w:p w:rsidR="00AD01ED" w:rsidRDefault="00AD01ED" w:rsidP="00F92E26">
      <w:pPr>
        <w:ind w:left="-12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※本表由實驗室負責人簽章保証，於廢液送至貯存場前交付環安中心。</w:t>
      </w:r>
    </w:p>
    <w:p w:rsidR="00F92E26" w:rsidRDefault="00CE52AF" w:rsidP="005364BA">
      <w:pPr>
        <w:widowControl/>
        <w:rPr>
          <w:rFonts w:ascii="標楷體" w:eastAsia="標楷體"/>
        </w:rPr>
      </w:pPr>
      <w:r>
        <w:rPr>
          <w:rFonts w:ascii="標楷體" w:eastAsia="標楷體" w:hint="eastAsia"/>
        </w:rPr>
        <w:lastRenderedPageBreak/>
        <w:t>附圖一</w:t>
      </w:r>
      <w:r w:rsidR="005364BA">
        <w:rPr>
          <w:rFonts w:ascii="標楷體" w:eastAsia="標楷體" w:hint="eastAsia"/>
        </w:rPr>
        <w:t xml:space="preserve">　實驗室廢液</w:t>
      </w:r>
      <w:r w:rsidR="005364BA" w:rsidRPr="005364BA">
        <w:rPr>
          <w:rFonts w:ascii="標楷體" w:eastAsia="標楷體" w:hint="eastAsia"/>
        </w:rPr>
        <w:t>貯存容器標示圖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1356"/>
        <w:gridCol w:w="2787"/>
        <w:gridCol w:w="4754"/>
      </w:tblGrid>
      <w:tr w:rsidR="005364BA" w:rsidRPr="006B22E6" w:rsidTr="00BE6374">
        <w:trPr>
          <w:tblHeader/>
        </w:trPr>
        <w:tc>
          <w:tcPr>
            <w:tcW w:w="1356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787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 w:hint="eastAsia"/>
              </w:rPr>
              <w:t>分類</w:t>
            </w:r>
          </w:p>
        </w:tc>
        <w:tc>
          <w:tcPr>
            <w:tcW w:w="4754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 w:hint="eastAsia"/>
              </w:rPr>
              <w:t>應張貼之貯存容器標示圖</w:t>
            </w:r>
          </w:p>
        </w:tc>
      </w:tr>
      <w:tr w:rsidR="005364BA" w:rsidRPr="006B22E6" w:rsidTr="00BE6374">
        <w:tc>
          <w:tcPr>
            <w:tcW w:w="1356" w:type="dxa"/>
            <w:vMerge w:val="restart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 w:hint="eastAsia"/>
              </w:rPr>
              <w:t>有機廢液</w:t>
            </w:r>
          </w:p>
        </w:tc>
        <w:tc>
          <w:tcPr>
            <w:tcW w:w="2787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 w:hint="eastAsia"/>
              </w:rPr>
              <w:t>油脂類</w:t>
            </w:r>
          </w:p>
        </w:tc>
        <w:tc>
          <w:tcPr>
            <w:tcW w:w="4754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933164" cy="962025"/>
                  <wp:effectExtent l="19050" t="0" r="286" b="0"/>
                  <wp:docPr id="18" name="圖片 5" descr="11-易燃性液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-易燃性液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164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2E6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323975" cy="1650671"/>
                  <wp:effectExtent l="19050" t="0" r="9525" b="0"/>
                  <wp:docPr id="19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4358" t="20588" r="37794" b="35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23" cy="165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4BA" w:rsidRPr="006B22E6" w:rsidTr="00BE6374">
        <w:tc>
          <w:tcPr>
            <w:tcW w:w="1356" w:type="dxa"/>
            <w:vMerge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 w:hint="eastAsia"/>
              </w:rPr>
              <w:t>含鹵素廢液</w:t>
            </w:r>
          </w:p>
        </w:tc>
        <w:tc>
          <w:tcPr>
            <w:tcW w:w="4754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948055" cy="977376"/>
                  <wp:effectExtent l="19050" t="0" r="4445" b="0"/>
                  <wp:docPr id="21" name="圖片 8" descr="11-易燃性液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1-易燃性液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977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2E6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323975" cy="1650671"/>
                  <wp:effectExtent l="19050" t="0" r="9525" b="0"/>
                  <wp:docPr id="22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4358" t="20588" r="37794" b="35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23" cy="165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4BA" w:rsidRPr="006B22E6" w:rsidTr="00BE6374">
        <w:tc>
          <w:tcPr>
            <w:tcW w:w="1356" w:type="dxa"/>
            <w:vMerge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 w:hint="eastAsia"/>
              </w:rPr>
              <w:t>不含鹵素廢液</w:t>
            </w:r>
          </w:p>
        </w:tc>
        <w:tc>
          <w:tcPr>
            <w:tcW w:w="4754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 w:hint="eastAsia"/>
                <w:noProof/>
                <w:szCs w:val="24"/>
              </w:rPr>
              <w:drawing>
                <wp:inline distT="0" distB="0" distL="0" distR="0">
                  <wp:extent cx="942404" cy="971550"/>
                  <wp:effectExtent l="19050" t="0" r="0" b="0"/>
                  <wp:docPr id="24" name="圖片 11" descr="11-易燃性液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-易燃性液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404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2E6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323975" cy="1650671"/>
                  <wp:effectExtent l="19050" t="0" r="9525" b="0"/>
                  <wp:docPr id="25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4358" t="20588" r="37794" b="35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23" cy="165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4BA" w:rsidRPr="006B22E6" w:rsidTr="00BE6374">
        <w:tc>
          <w:tcPr>
            <w:tcW w:w="1356" w:type="dxa"/>
            <w:vMerge w:val="restart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 w:hint="eastAsia"/>
              </w:rPr>
              <w:t>無機廢液</w:t>
            </w:r>
          </w:p>
        </w:tc>
        <w:tc>
          <w:tcPr>
            <w:tcW w:w="2787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 w:hint="eastAsia"/>
              </w:rPr>
              <w:t>含重金屬廢液</w:t>
            </w:r>
          </w:p>
        </w:tc>
        <w:tc>
          <w:tcPr>
            <w:tcW w:w="4754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976408" cy="971550"/>
                  <wp:effectExtent l="19050" t="0" r="0" b="0"/>
                  <wp:docPr id="27" name="圖片 17" descr="04-毒性事業廢棄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04-毒性事業廢棄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408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2E6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323975" cy="1650671"/>
                  <wp:effectExtent l="19050" t="0" r="9525" b="0"/>
                  <wp:docPr id="28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4358" t="20588" r="37794" b="35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23" cy="165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4BA" w:rsidRPr="006B22E6" w:rsidTr="00BE6374">
        <w:tc>
          <w:tcPr>
            <w:tcW w:w="1356" w:type="dxa"/>
            <w:vMerge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 w:hint="eastAsia"/>
              </w:rPr>
              <w:t>含氰廢液</w:t>
            </w:r>
          </w:p>
        </w:tc>
        <w:tc>
          <w:tcPr>
            <w:tcW w:w="4754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947690" cy="942975"/>
                  <wp:effectExtent l="19050" t="0" r="4810" b="0"/>
                  <wp:docPr id="30" name="圖片 20" descr="04-毒性事業廢棄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04-毒性事業廢棄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69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2E6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323975" cy="1650671"/>
                  <wp:effectExtent l="19050" t="0" r="9525" b="0"/>
                  <wp:docPr id="31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4358" t="20588" r="37794" b="35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23" cy="165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4BA" w:rsidRPr="006B22E6" w:rsidTr="00BE6374">
        <w:tc>
          <w:tcPr>
            <w:tcW w:w="1356" w:type="dxa"/>
            <w:vMerge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 w:hint="eastAsia"/>
              </w:rPr>
              <w:t>含汞廢液</w:t>
            </w:r>
          </w:p>
        </w:tc>
        <w:tc>
          <w:tcPr>
            <w:tcW w:w="4754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976408" cy="971550"/>
                  <wp:effectExtent l="19050" t="0" r="0" b="0"/>
                  <wp:docPr id="33" name="圖片 23" descr="04-毒性事業廢棄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04-毒性事業廢棄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408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2E6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323975" cy="1650671"/>
                  <wp:effectExtent l="19050" t="0" r="9525" b="0"/>
                  <wp:docPr id="34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4358" t="20588" r="37794" b="35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23" cy="165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4BA" w:rsidRPr="006B22E6" w:rsidTr="00BE6374">
        <w:tc>
          <w:tcPr>
            <w:tcW w:w="1356" w:type="dxa"/>
            <w:vMerge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 w:hint="eastAsia"/>
              </w:rPr>
              <w:t>含氟廢液</w:t>
            </w:r>
          </w:p>
        </w:tc>
        <w:tc>
          <w:tcPr>
            <w:tcW w:w="4754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966835" cy="962025"/>
                  <wp:effectExtent l="19050" t="0" r="4715" b="0"/>
                  <wp:docPr id="36" name="圖片 26" descr="04-毒性事業廢棄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04-毒性事業廢棄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3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2E6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323975" cy="1650671"/>
                  <wp:effectExtent l="19050" t="0" r="9525" b="0"/>
                  <wp:docPr id="37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4358" t="20588" r="37794" b="35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23" cy="165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4BA" w:rsidRPr="006B22E6" w:rsidTr="00BE6374">
        <w:tc>
          <w:tcPr>
            <w:tcW w:w="1356" w:type="dxa"/>
            <w:vMerge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 w:hint="eastAsia"/>
              </w:rPr>
              <w:t>酸鹼性廢液</w:t>
            </w:r>
          </w:p>
        </w:tc>
        <w:tc>
          <w:tcPr>
            <w:tcW w:w="4754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861834" cy="857250"/>
                  <wp:effectExtent l="19050" t="0" r="0" b="0"/>
                  <wp:docPr id="38" name="圖片 14" descr="08-腐蝕性事業廢棄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08-腐蝕性事業廢棄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834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2E6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323975" cy="1650671"/>
                  <wp:effectExtent l="19050" t="0" r="9525" b="0"/>
                  <wp:docPr id="39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4358" t="20588" r="37794" b="35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23" cy="165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4BA" w:rsidRPr="006B22E6" w:rsidTr="00BE6374">
        <w:tc>
          <w:tcPr>
            <w:tcW w:w="1356" w:type="dxa"/>
            <w:vMerge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 w:hint="eastAsia"/>
              </w:rPr>
              <w:t>含六價鉻化合物</w:t>
            </w:r>
          </w:p>
        </w:tc>
        <w:tc>
          <w:tcPr>
            <w:tcW w:w="4754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976408" cy="971550"/>
                  <wp:effectExtent l="19050" t="0" r="0" b="0"/>
                  <wp:docPr id="40" name="圖片 29" descr="04-毒性事業廢棄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04-毒性事業廢棄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408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2E6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323975" cy="1650671"/>
                  <wp:effectExtent l="19050" t="0" r="9525" b="0"/>
                  <wp:docPr id="41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4358" t="20588" r="37794" b="35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23" cy="165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4BA" w:rsidRPr="006B22E6" w:rsidTr="00BE6374">
        <w:tc>
          <w:tcPr>
            <w:tcW w:w="1356" w:type="dxa"/>
            <w:vMerge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 w:hint="eastAsia"/>
              </w:rPr>
              <w:t>顯影液、定影液</w:t>
            </w:r>
          </w:p>
        </w:tc>
        <w:tc>
          <w:tcPr>
            <w:tcW w:w="4754" w:type="dxa"/>
            <w:vAlign w:val="center"/>
          </w:tcPr>
          <w:p w:rsidR="005364BA" w:rsidRPr="006B22E6" w:rsidRDefault="005364BA" w:rsidP="00BE6374">
            <w:pPr>
              <w:jc w:val="center"/>
              <w:rPr>
                <w:rFonts w:ascii="標楷體" w:eastAsia="標楷體" w:hAnsi="標楷體"/>
              </w:rPr>
            </w:pPr>
            <w:r w:rsidRPr="006B22E6"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909399" cy="904875"/>
                  <wp:effectExtent l="19050" t="0" r="5001" b="0"/>
                  <wp:docPr id="42" name="圖片 32" descr="04-毒性事業廢棄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04-毒性事業廢棄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99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22E6">
              <w:rPr>
                <w:rFonts w:ascii="標楷體" w:eastAsia="標楷體" w:hAnsi="標楷體" w:hint="eastAsia"/>
                <w:noProof/>
              </w:rPr>
              <w:drawing>
                <wp:inline distT="0" distB="0" distL="0" distR="0">
                  <wp:extent cx="1323975" cy="1650671"/>
                  <wp:effectExtent l="19050" t="0" r="9525" b="0"/>
                  <wp:docPr id="43" name="圖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4358" t="20588" r="37794" b="359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423" cy="1654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64BA" w:rsidRDefault="005364BA" w:rsidP="005364BA">
      <w:pPr>
        <w:widowControl/>
        <w:rPr>
          <w:rFonts w:ascii="標楷體" w:eastAsia="標楷體"/>
        </w:rPr>
      </w:pPr>
    </w:p>
    <w:sectPr w:rsidR="005364BA" w:rsidSect="00AD01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4D" w:rsidRDefault="002D304D">
      <w:r>
        <w:separator/>
      </w:r>
    </w:p>
  </w:endnote>
  <w:endnote w:type="continuationSeparator" w:id="0">
    <w:p w:rsidR="002D304D" w:rsidRDefault="002D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E8" w:rsidRDefault="00F55B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3D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3DE8">
      <w:rPr>
        <w:rStyle w:val="a5"/>
        <w:noProof/>
      </w:rPr>
      <w:t>1</w:t>
    </w:r>
    <w:r>
      <w:rPr>
        <w:rStyle w:val="a5"/>
      </w:rPr>
      <w:fldChar w:fldCharType="end"/>
    </w:r>
  </w:p>
  <w:p w:rsidR="00833DE8" w:rsidRDefault="00833DE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DE8" w:rsidRDefault="00F55B3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33D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08EF">
      <w:rPr>
        <w:rStyle w:val="a5"/>
        <w:noProof/>
      </w:rPr>
      <w:t>2</w:t>
    </w:r>
    <w:r>
      <w:rPr>
        <w:rStyle w:val="a5"/>
      </w:rPr>
      <w:fldChar w:fldCharType="end"/>
    </w:r>
  </w:p>
  <w:p w:rsidR="00833DE8" w:rsidRDefault="00833D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4D" w:rsidRDefault="002D304D">
      <w:r>
        <w:separator/>
      </w:r>
    </w:p>
  </w:footnote>
  <w:footnote w:type="continuationSeparator" w:id="0">
    <w:p w:rsidR="002D304D" w:rsidRDefault="002D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1E6C"/>
    <w:multiLevelType w:val="hybridMultilevel"/>
    <w:tmpl w:val="800CEE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F167466"/>
    <w:multiLevelType w:val="singleLevel"/>
    <w:tmpl w:val="9CEC856A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">
    <w:nsid w:val="10775CB2"/>
    <w:multiLevelType w:val="multilevel"/>
    <w:tmpl w:val="D1FA1C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>
      <w:start w:val="1"/>
      <w:numFmt w:val="upperRoman"/>
      <w:lvlText w:val="%2.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13E569CC"/>
    <w:multiLevelType w:val="singleLevel"/>
    <w:tmpl w:val="09845196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4">
    <w:nsid w:val="147F085A"/>
    <w:multiLevelType w:val="singleLevel"/>
    <w:tmpl w:val="50FAF2F8"/>
    <w:lvl w:ilvl="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5">
    <w:nsid w:val="16142FD7"/>
    <w:multiLevelType w:val="hybridMultilevel"/>
    <w:tmpl w:val="08DC4A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89240F8"/>
    <w:multiLevelType w:val="singleLevel"/>
    <w:tmpl w:val="358A7E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1C0C37C1"/>
    <w:multiLevelType w:val="hybridMultilevel"/>
    <w:tmpl w:val="30B2A5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D877EFF"/>
    <w:multiLevelType w:val="hybridMultilevel"/>
    <w:tmpl w:val="A5E854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23022B9F"/>
    <w:multiLevelType w:val="hybridMultilevel"/>
    <w:tmpl w:val="5976622E"/>
    <w:lvl w:ilvl="0" w:tplc="AB685D9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7D563E"/>
    <w:multiLevelType w:val="hybridMultilevel"/>
    <w:tmpl w:val="8CDE96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1">
    <w:nsid w:val="28C4201D"/>
    <w:multiLevelType w:val="singleLevel"/>
    <w:tmpl w:val="3E78E43A"/>
    <w:lvl w:ilvl="0">
      <w:start w:val="1"/>
      <w:numFmt w:val="decimal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12">
    <w:nsid w:val="292A6BA0"/>
    <w:multiLevelType w:val="singleLevel"/>
    <w:tmpl w:val="6C5EDD4E"/>
    <w:lvl w:ilvl="0">
      <w:start w:val="3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2BCE32D7"/>
    <w:multiLevelType w:val="singleLevel"/>
    <w:tmpl w:val="3416AD1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14">
    <w:nsid w:val="2BDD6DA2"/>
    <w:multiLevelType w:val="hybridMultilevel"/>
    <w:tmpl w:val="742880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>
    <w:nsid w:val="2FCE372B"/>
    <w:multiLevelType w:val="hybridMultilevel"/>
    <w:tmpl w:val="5212DDDC"/>
    <w:lvl w:ilvl="0" w:tplc="FB5A4F6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CF3BDE"/>
    <w:multiLevelType w:val="hybridMultilevel"/>
    <w:tmpl w:val="E130A122"/>
    <w:lvl w:ilvl="0" w:tplc="D8DAE1F8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E75320"/>
    <w:multiLevelType w:val="hybridMultilevel"/>
    <w:tmpl w:val="68D06076"/>
    <w:lvl w:ilvl="0" w:tplc="DB525F9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CA2F16"/>
    <w:multiLevelType w:val="singleLevel"/>
    <w:tmpl w:val="33AA6990"/>
    <w:lvl w:ilvl="0">
      <w:start w:val="20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36EF2980"/>
    <w:multiLevelType w:val="singleLevel"/>
    <w:tmpl w:val="C25CB70A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20">
    <w:nsid w:val="391D3CD1"/>
    <w:multiLevelType w:val="singleLevel"/>
    <w:tmpl w:val="A66ABD22"/>
    <w:lvl w:ilvl="0">
      <w:start w:val="1"/>
      <w:numFmt w:val="decimal"/>
      <w:lvlText w:val="(%1)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21">
    <w:nsid w:val="3BFE3E00"/>
    <w:multiLevelType w:val="hybridMultilevel"/>
    <w:tmpl w:val="AF8404FE"/>
    <w:lvl w:ilvl="0" w:tplc="D8BEB1E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2591AF2"/>
    <w:multiLevelType w:val="hybridMultilevel"/>
    <w:tmpl w:val="D7F20C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3">
    <w:nsid w:val="44C152D7"/>
    <w:multiLevelType w:val="singleLevel"/>
    <w:tmpl w:val="A0EE640A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24">
    <w:nsid w:val="44F81BC0"/>
    <w:multiLevelType w:val="singleLevel"/>
    <w:tmpl w:val="ABC06260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600"/>
      </w:pPr>
      <w:rPr>
        <w:rFonts w:hint="eastAsia"/>
      </w:rPr>
    </w:lvl>
  </w:abstractNum>
  <w:abstractNum w:abstractNumId="25">
    <w:nsid w:val="45801102"/>
    <w:multiLevelType w:val="hybridMultilevel"/>
    <w:tmpl w:val="441EC256"/>
    <w:lvl w:ilvl="0" w:tplc="CF50E89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8080ED4"/>
    <w:multiLevelType w:val="singleLevel"/>
    <w:tmpl w:val="1A323C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  <w:sz w:val="32"/>
      </w:rPr>
    </w:lvl>
  </w:abstractNum>
  <w:abstractNum w:abstractNumId="27">
    <w:nsid w:val="4B0C57A1"/>
    <w:multiLevelType w:val="hybridMultilevel"/>
    <w:tmpl w:val="E49020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8">
    <w:nsid w:val="4B9B4B12"/>
    <w:multiLevelType w:val="hybridMultilevel"/>
    <w:tmpl w:val="581A592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9">
    <w:nsid w:val="4C103B84"/>
    <w:multiLevelType w:val="singleLevel"/>
    <w:tmpl w:val="EB6880E8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0">
    <w:nsid w:val="4DF14E18"/>
    <w:multiLevelType w:val="singleLevel"/>
    <w:tmpl w:val="72CA23A6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31">
    <w:nsid w:val="4E986561"/>
    <w:multiLevelType w:val="hybridMultilevel"/>
    <w:tmpl w:val="27E2526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2">
    <w:nsid w:val="55ED3B53"/>
    <w:multiLevelType w:val="hybridMultilevel"/>
    <w:tmpl w:val="47F62B9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3">
    <w:nsid w:val="5BB74A14"/>
    <w:multiLevelType w:val="hybridMultilevel"/>
    <w:tmpl w:val="65C223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4">
    <w:nsid w:val="61E55E53"/>
    <w:multiLevelType w:val="hybridMultilevel"/>
    <w:tmpl w:val="C54EE9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1">
      <w:start w:val="1"/>
      <w:numFmt w:val="upperLetter"/>
      <w:lvlText w:val="%2.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2F934B7"/>
    <w:multiLevelType w:val="singleLevel"/>
    <w:tmpl w:val="10C83B0E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36">
    <w:nsid w:val="675211AD"/>
    <w:multiLevelType w:val="singleLevel"/>
    <w:tmpl w:val="94B6A794"/>
    <w:lvl w:ilvl="0">
      <w:start w:val="1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>
    <w:nsid w:val="707743E9"/>
    <w:multiLevelType w:val="singleLevel"/>
    <w:tmpl w:val="FC52831E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38">
    <w:nsid w:val="731008DA"/>
    <w:multiLevelType w:val="singleLevel"/>
    <w:tmpl w:val="8E04C4B2"/>
    <w:lvl w:ilvl="0">
      <w:start w:val="1"/>
      <w:numFmt w:val="upperLetter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39">
    <w:nsid w:val="7FCF07AF"/>
    <w:multiLevelType w:val="singleLevel"/>
    <w:tmpl w:val="D80A780E"/>
    <w:lvl w:ilvl="0">
      <w:start w:val="1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num w:numId="1">
    <w:abstractNumId w:val="6"/>
  </w:num>
  <w:num w:numId="2">
    <w:abstractNumId w:val="36"/>
  </w:num>
  <w:num w:numId="3">
    <w:abstractNumId w:val="12"/>
  </w:num>
  <w:num w:numId="4">
    <w:abstractNumId w:val="23"/>
  </w:num>
  <w:num w:numId="5">
    <w:abstractNumId w:val="18"/>
  </w:num>
  <w:num w:numId="6">
    <w:abstractNumId w:val="11"/>
  </w:num>
  <w:num w:numId="7">
    <w:abstractNumId w:val="3"/>
  </w:num>
  <w:num w:numId="8">
    <w:abstractNumId w:val="38"/>
  </w:num>
  <w:num w:numId="9">
    <w:abstractNumId w:val="24"/>
  </w:num>
  <w:num w:numId="10">
    <w:abstractNumId w:val="13"/>
  </w:num>
  <w:num w:numId="11">
    <w:abstractNumId w:val="30"/>
  </w:num>
  <w:num w:numId="12">
    <w:abstractNumId w:val="37"/>
  </w:num>
  <w:num w:numId="13">
    <w:abstractNumId w:val="35"/>
  </w:num>
  <w:num w:numId="14">
    <w:abstractNumId w:val="39"/>
  </w:num>
  <w:num w:numId="15">
    <w:abstractNumId w:val="4"/>
  </w:num>
  <w:num w:numId="16">
    <w:abstractNumId w:val="29"/>
  </w:num>
  <w:num w:numId="17">
    <w:abstractNumId w:val="1"/>
  </w:num>
  <w:num w:numId="18">
    <w:abstractNumId w:val="19"/>
  </w:num>
  <w:num w:numId="19">
    <w:abstractNumId w:val="20"/>
  </w:num>
  <w:num w:numId="20">
    <w:abstractNumId w:val="5"/>
  </w:num>
  <w:num w:numId="21">
    <w:abstractNumId w:val="33"/>
  </w:num>
  <w:num w:numId="22">
    <w:abstractNumId w:val="22"/>
  </w:num>
  <w:num w:numId="23">
    <w:abstractNumId w:val="27"/>
  </w:num>
  <w:num w:numId="24">
    <w:abstractNumId w:val="8"/>
  </w:num>
  <w:num w:numId="25">
    <w:abstractNumId w:val="31"/>
  </w:num>
  <w:num w:numId="26">
    <w:abstractNumId w:val="32"/>
  </w:num>
  <w:num w:numId="27">
    <w:abstractNumId w:val="0"/>
  </w:num>
  <w:num w:numId="28">
    <w:abstractNumId w:val="14"/>
  </w:num>
  <w:num w:numId="29">
    <w:abstractNumId w:val="34"/>
  </w:num>
  <w:num w:numId="30">
    <w:abstractNumId w:val="2"/>
  </w:num>
  <w:num w:numId="31">
    <w:abstractNumId w:val="28"/>
  </w:num>
  <w:num w:numId="32">
    <w:abstractNumId w:val="10"/>
  </w:num>
  <w:num w:numId="33">
    <w:abstractNumId w:val="7"/>
  </w:num>
  <w:num w:numId="34">
    <w:abstractNumId w:val="9"/>
  </w:num>
  <w:num w:numId="35">
    <w:abstractNumId w:val="25"/>
  </w:num>
  <w:num w:numId="36">
    <w:abstractNumId w:val="16"/>
  </w:num>
  <w:num w:numId="37">
    <w:abstractNumId w:val="17"/>
  </w:num>
  <w:num w:numId="38">
    <w:abstractNumId w:val="21"/>
  </w:num>
  <w:num w:numId="39">
    <w:abstractNumId w:val="2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82"/>
    <w:rsid w:val="000B389D"/>
    <w:rsid w:val="00110791"/>
    <w:rsid w:val="001729E7"/>
    <w:rsid w:val="001A597C"/>
    <w:rsid w:val="001B5D40"/>
    <w:rsid w:val="00285A86"/>
    <w:rsid w:val="002D304D"/>
    <w:rsid w:val="002E1593"/>
    <w:rsid w:val="002F07C6"/>
    <w:rsid w:val="003130DB"/>
    <w:rsid w:val="00386D08"/>
    <w:rsid w:val="003D0C4B"/>
    <w:rsid w:val="003F1A30"/>
    <w:rsid w:val="00411A13"/>
    <w:rsid w:val="005364BA"/>
    <w:rsid w:val="005F2C39"/>
    <w:rsid w:val="00654C9F"/>
    <w:rsid w:val="006F43E9"/>
    <w:rsid w:val="00710EC8"/>
    <w:rsid w:val="007174BB"/>
    <w:rsid w:val="007458F1"/>
    <w:rsid w:val="00802D82"/>
    <w:rsid w:val="00833DE8"/>
    <w:rsid w:val="00836E61"/>
    <w:rsid w:val="008C354A"/>
    <w:rsid w:val="00914C8B"/>
    <w:rsid w:val="00942574"/>
    <w:rsid w:val="009526ED"/>
    <w:rsid w:val="00973B65"/>
    <w:rsid w:val="0098219E"/>
    <w:rsid w:val="00996B4D"/>
    <w:rsid w:val="009F22F0"/>
    <w:rsid w:val="00A4349F"/>
    <w:rsid w:val="00AD01ED"/>
    <w:rsid w:val="00B23E52"/>
    <w:rsid w:val="00B434B2"/>
    <w:rsid w:val="00CE311D"/>
    <w:rsid w:val="00CE52AF"/>
    <w:rsid w:val="00D05D26"/>
    <w:rsid w:val="00DE475F"/>
    <w:rsid w:val="00E81D54"/>
    <w:rsid w:val="00E81D9A"/>
    <w:rsid w:val="00EB13A1"/>
    <w:rsid w:val="00ED0EE5"/>
    <w:rsid w:val="00F55B3D"/>
    <w:rsid w:val="00F72A7C"/>
    <w:rsid w:val="00F92E26"/>
    <w:rsid w:val="00FA08EF"/>
    <w:rsid w:val="00FB4E37"/>
    <w:rsid w:val="00FE12FF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1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8219E"/>
    <w:rPr>
      <w:rFonts w:ascii="細明體" w:eastAsia="細明體" w:hAnsi="Courier New"/>
      <w:sz w:val="28"/>
    </w:rPr>
  </w:style>
  <w:style w:type="paragraph" w:styleId="a4">
    <w:name w:val="footer"/>
    <w:basedOn w:val="a"/>
    <w:rsid w:val="0098219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98219E"/>
  </w:style>
  <w:style w:type="paragraph" w:styleId="a6">
    <w:name w:val="header"/>
    <w:basedOn w:val="a"/>
    <w:link w:val="a7"/>
    <w:rsid w:val="00EB13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EB13A1"/>
    <w:rPr>
      <w:kern w:val="2"/>
    </w:rPr>
  </w:style>
  <w:style w:type="paragraph" w:styleId="a8">
    <w:name w:val="List Paragraph"/>
    <w:basedOn w:val="a"/>
    <w:uiPriority w:val="34"/>
    <w:qFormat/>
    <w:rsid w:val="003F1A30"/>
    <w:pPr>
      <w:ind w:leftChars="200" w:left="480"/>
    </w:pPr>
  </w:style>
  <w:style w:type="table" w:styleId="a9">
    <w:name w:val="Table Grid"/>
    <w:basedOn w:val="a1"/>
    <w:uiPriority w:val="59"/>
    <w:rsid w:val="005364B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36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5364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19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8219E"/>
    <w:rPr>
      <w:rFonts w:ascii="細明體" w:eastAsia="細明體" w:hAnsi="Courier New"/>
      <w:sz w:val="28"/>
    </w:rPr>
  </w:style>
  <w:style w:type="paragraph" w:styleId="a4">
    <w:name w:val="footer"/>
    <w:basedOn w:val="a"/>
    <w:rsid w:val="0098219E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98219E"/>
  </w:style>
  <w:style w:type="paragraph" w:styleId="a6">
    <w:name w:val="header"/>
    <w:basedOn w:val="a"/>
    <w:link w:val="a7"/>
    <w:rsid w:val="00EB13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EB13A1"/>
    <w:rPr>
      <w:kern w:val="2"/>
    </w:rPr>
  </w:style>
  <w:style w:type="paragraph" w:styleId="a8">
    <w:name w:val="List Paragraph"/>
    <w:basedOn w:val="a"/>
    <w:uiPriority w:val="34"/>
    <w:qFormat/>
    <w:rsid w:val="003F1A30"/>
    <w:pPr>
      <w:ind w:leftChars="200" w:left="480"/>
    </w:pPr>
  </w:style>
  <w:style w:type="table" w:styleId="a9">
    <w:name w:val="Table Grid"/>
    <w:basedOn w:val="a1"/>
    <w:uiPriority w:val="59"/>
    <w:rsid w:val="005364B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36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5364B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50527-0F2F-4E77-A5AB-DBA23CE1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460</Words>
  <Characters>2624</Characters>
  <Application>Microsoft Office Word</Application>
  <DocSecurity>0</DocSecurity>
  <Lines>21</Lines>
  <Paragraphs>6</Paragraphs>
  <ScaleCrop>false</ScaleCrop>
  <Company>tcu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慈濟大學有害廢棄物分類及處理辦法</dc:title>
  <dc:creator>tcu</dc:creator>
  <cp:lastModifiedBy>Windows 使用者</cp:lastModifiedBy>
  <cp:revision>2</cp:revision>
  <cp:lastPrinted>2014-03-18T02:52:00Z</cp:lastPrinted>
  <dcterms:created xsi:type="dcterms:W3CDTF">2021-04-19T02:24:00Z</dcterms:created>
  <dcterms:modified xsi:type="dcterms:W3CDTF">2021-04-19T02:24:00Z</dcterms:modified>
</cp:coreProperties>
</file>